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357C0">
      <w:pPr>
        <w:widowControl/>
        <w:spacing w:line="360" w:lineRule="auto"/>
        <w:jc w:val="center"/>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大庆市第五医院POCT分析仪及配套试剂采购项目招标公告</w:t>
      </w:r>
    </w:p>
    <w:p w14:paraId="6EC4D992">
      <w:pPr>
        <w:widowControl/>
        <w:spacing w:line="480" w:lineRule="exact"/>
        <w:jc w:val="left"/>
        <w:rPr>
          <w:rFonts w:asciiTheme="minorEastAsia" w:hAnsiTheme="minorEastAsia"/>
          <w:b/>
          <w:bCs/>
        </w:rPr>
      </w:pPr>
      <w:r>
        <w:rPr>
          <w:rFonts w:hint="eastAsia" w:cs="宋体" w:asciiTheme="minorEastAsia" w:hAnsiTheme="minorEastAsia"/>
          <w:b/>
          <w:bCs/>
          <w:kern w:val="0"/>
          <w:sz w:val="24"/>
        </w:rPr>
        <w:t>一、项目编号:</w:t>
      </w:r>
      <w:r>
        <w:rPr>
          <w:rFonts w:hint="eastAsia" w:cs="宋体" w:asciiTheme="minorEastAsia" w:hAnsiTheme="minorEastAsia"/>
          <w:b/>
          <w:bCs/>
          <w:kern w:val="0"/>
          <w:sz w:val="24"/>
          <w:lang w:val="en-US" w:eastAsia="zh-CN"/>
        </w:rPr>
        <w:t>2025036</w:t>
      </w:r>
      <w:r>
        <w:rPr>
          <w:rFonts w:hint="eastAsia" w:cs="宋体" w:asciiTheme="minorEastAsia" w:hAnsiTheme="minorEastAsia"/>
          <w:bCs/>
          <w:kern w:val="0"/>
          <w:sz w:val="24"/>
        </w:rPr>
        <w:t xml:space="preserve">  </w:t>
      </w:r>
    </w:p>
    <w:p w14:paraId="19FBEB4E">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大庆市第五医院POCT分析仪配套试剂采购项目</w:t>
      </w:r>
    </w:p>
    <w:p w14:paraId="1208D7C7">
      <w:pPr>
        <w:widowControl/>
        <w:spacing w:line="480" w:lineRule="exac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b/>
          <w:bCs/>
          <w:kern w:val="0"/>
          <w:sz w:val="24"/>
        </w:rPr>
        <w:t>三、采购类型:</w:t>
      </w:r>
      <w:r>
        <w:rPr>
          <w:rFonts w:hint="eastAsia" w:cs="宋体" w:asciiTheme="minorEastAsia" w:hAnsiTheme="minorEastAsia"/>
          <w:kern w:val="0"/>
          <w:sz w:val="24"/>
        </w:rPr>
        <w:t>院内</w:t>
      </w:r>
      <w:r>
        <w:rPr>
          <w:rFonts w:hint="eastAsia" w:cs="宋体" w:asciiTheme="minorEastAsia" w:hAnsiTheme="minorEastAsia"/>
          <w:bCs/>
          <w:kern w:val="0"/>
          <w:sz w:val="24"/>
        </w:rPr>
        <w:t>竞争性谈判（投标报价所有单品必须同比例下浮）</w:t>
      </w:r>
    </w:p>
    <w:p w14:paraId="257F4BC8">
      <w:pPr>
        <w:pStyle w:val="8"/>
        <w:spacing w:before="0" w:beforeAutospacing="0" w:after="0" w:afterAutospacing="0" w:line="480" w:lineRule="exac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四、预算金额及</w:t>
      </w:r>
      <w:r>
        <w:rPr>
          <w:rFonts w:hint="eastAsia" w:asciiTheme="minorEastAsia" w:hAnsiTheme="minorEastAsia"/>
          <w:b/>
          <w:bCs/>
        </w:rPr>
        <w:t>采购需求</w:t>
      </w:r>
      <w:r>
        <w:rPr>
          <w:rFonts w:hint="eastAsia" w:asciiTheme="minorEastAsia" w:hAnsiTheme="minorEastAsia"/>
          <w:b/>
          <w:bCs/>
          <w:color w:val="000000" w:themeColor="text1"/>
          <w14:textFill>
            <w14:solidFill>
              <w14:schemeClr w14:val="tx1"/>
            </w14:solidFill>
          </w14:textFill>
        </w:rPr>
        <w:t>：</w:t>
      </w:r>
    </w:p>
    <w:p w14:paraId="6182E883">
      <w:pPr>
        <w:pStyle w:val="8"/>
        <w:spacing w:before="0" w:beforeAutospacing="0" w:after="0" w:afterAutospacing="0" w:line="480" w:lineRule="exact"/>
        <w:ind w:firstLine="480" w:firstLineChars="200"/>
        <w:rPr>
          <w:rFonts w:asciiTheme="minorEastAsia" w:hAnsiTheme="minorEastAsia"/>
        </w:rPr>
      </w:pPr>
      <w:r>
        <w:rPr>
          <w:rFonts w:hint="eastAsia" w:asciiTheme="minorEastAsia" w:hAnsiTheme="minorEastAsia"/>
          <w:bCs/>
          <w:color w:val="000000" w:themeColor="text1"/>
          <w14:textFill>
            <w14:solidFill>
              <w14:schemeClr w14:val="tx1"/>
            </w14:solidFill>
          </w14:textFill>
        </w:rPr>
        <w:t>见第八项报价单。</w:t>
      </w:r>
      <w:r>
        <w:rPr>
          <w:rFonts w:hint="eastAsia"/>
        </w:rPr>
        <w:t>（参与投标供应商投标报价单项超出预算价格的投标无效</w:t>
      </w:r>
      <w:r>
        <w:rPr>
          <w:rFonts w:hint="eastAsia"/>
          <w:szCs w:val="21"/>
        </w:rPr>
        <w:t>。</w:t>
      </w:r>
      <w:r>
        <w:rPr>
          <w:rFonts w:hint="eastAsia"/>
        </w:rPr>
        <w:t>）</w:t>
      </w:r>
    </w:p>
    <w:p w14:paraId="58231D6A">
      <w:pPr>
        <w:pStyle w:val="8"/>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8</w:t>
      </w:r>
      <w:r>
        <w:rPr>
          <w:rFonts w:hint="eastAsia" w:asciiTheme="minorEastAsia" w:hAnsiTheme="minorEastAsia"/>
          <w:bCs/>
        </w:rPr>
        <w:t>月</w:t>
      </w:r>
      <w:r>
        <w:rPr>
          <w:rFonts w:hint="eastAsia" w:asciiTheme="minorEastAsia" w:hAnsiTheme="minorEastAsia"/>
          <w:bCs/>
          <w:lang w:val="en-US" w:eastAsia="zh-CN"/>
        </w:rPr>
        <w:t>13</w:t>
      </w:r>
      <w:r>
        <w:rPr>
          <w:rFonts w:hint="eastAsia" w:asciiTheme="minorEastAsia" w:hAnsiTheme="minorEastAsia"/>
          <w:bCs/>
        </w:rPr>
        <w:t>日至2025年</w:t>
      </w:r>
      <w:r>
        <w:rPr>
          <w:rFonts w:hint="eastAsia" w:asciiTheme="minorEastAsia" w:hAnsiTheme="minorEastAsia"/>
          <w:bCs/>
          <w:lang w:val="en-US" w:eastAsia="zh-CN"/>
        </w:rPr>
        <w:t>8</w:t>
      </w:r>
      <w:r>
        <w:rPr>
          <w:rFonts w:hint="eastAsia" w:asciiTheme="minorEastAsia" w:hAnsiTheme="minorEastAsia"/>
          <w:bCs/>
        </w:rPr>
        <w:t>月</w:t>
      </w:r>
      <w:r>
        <w:rPr>
          <w:rFonts w:hint="eastAsia" w:asciiTheme="minorEastAsia" w:hAnsiTheme="minorEastAsia"/>
          <w:bCs/>
          <w:lang w:val="en-US" w:eastAsia="zh-CN"/>
        </w:rPr>
        <w:t>15</w:t>
      </w:r>
      <w:r>
        <w:rPr>
          <w:rFonts w:hint="eastAsia" w:asciiTheme="minorEastAsia" w:hAnsiTheme="minorEastAsia"/>
          <w:bCs/>
        </w:rPr>
        <w:t>日止</w:t>
      </w:r>
    </w:p>
    <w:p w14:paraId="4753E433">
      <w:pPr>
        <w:pStyle w:val="8"/>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14:paraId="080D510B">
      <w:pPr>
        <w:pStyle w:val="8"/>
        <w:snapToGrid w:val="0"/>
        <w:spacing w:before="0" w:beforeAutospacing="0" w:after="0" w:afterAutospacing="0" w:line="360" w:lineRule="exact"/>
        <w:rPr>
          <w:rFonts w:asciiTheme="minorEastAsia" w:hAnsiTheme="minorEastAsia"/>
          <w:b/>
          <w:bCs/>
        </w:rPr>
      </w:pPr>
      <w:r>
        <w:rPr>
          <w:rFonts w:hint="eastAsia" w:asciiTheme="minorEastAsia" w:hAnsiTheme="minorEastAsia"/>
        </w:rPr>
        <w:t>以下条款为必须满足条件，在标书中体现，否则予以废标：</w:t>
      </w:r>
    </w:p>
    <w:p w14:paraId="0A38F853">
      <w:pPr>
        <w:pStyle w:val="8"/>
        <w:snapToGrid w:val="0"/>
        <w:spacing w:before="0" w:beforeAutospacing="0" w:after="0" w:afterAutospacing="0" w:line="360" w:lineRule="exact"/>
        <w:rPr>
          <w:rFonts w:asciiTheme="minorEastAsia" w:hAnsiTheme="minorEastAsia"/>
        </w:rPr>
      </w:pPr>
      <w:r>
        <w:rPr>
          <w:rFonts w:hint="eastAsia" w:asciiTheme="minorEastAsia" w:hAnsiTheme="minorEastAsia"/>
        </w:rPr>
        <w:t xml:space="preserve">1、提供有效的独立企业法人营业执照副本内页。 </w:t>
      </w:r>
    </w:p>
    <w:p w14:paraId="34948D65">
      <w:pPr>
        <w:pStyle w:val="8"/>
        <w:snapToGrid w:val="0"/>
        <w:spacing w:before="0" w:beforeAutospacing="0" w:after="0" w:afterAutospacing="0" w:line="360" w:lineRule="exact"/>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14:paraId="622B330A">
      <w:pPr>
        <w:snapToGrid w:val="0"/>
        <w:spacing w:line="360" w:lineRule="exac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14:paraId="61ED472C">
      <w:pPr>
        <w:snapToGrid w:val="0"/>
        <w:spacing w:line="360" w:lineRule="exac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14:paraId="6B8F77E7">
      <w:pPr>
        <w:snapToGrid w:val="0"/>
        <w:spacing w:line="360" w:lineRule="exac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14:paraId="2BB4692F">
      <w:pPr>
        <w:snapToGrid w:val="0"/>
        <w:spacing w:line="360" w:lineRule="exac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14:paraId="3F45F2DB">
      <w:pPr>
        <w:snapToGrid w:val="0"/>
        <w:spacing w:line="360" w:lineRule="exact"/>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14:paraId="0C5DB4CB">
      <w:pPr>
        <w:snapToGrid w:val="0"/>
        <w:spacing w:line="360" w:lineRule="exact"/>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14:paraId="44C2434B">
      <w:pPr>
        <w:snapToGrid w:val="0"/>
        <w:spacing w:line="360" w:lineRule="exact"/>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14:paraId="152DA5B6">
      <w:pPr>
        <w:snapToGrid w:val="0"/>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14:paraId="536AD4C7">
      <w:pPr>
        <w:snapToGrid w:val="0"/>
        <w:spacing w:line="360" w:lineRule="exact"/>
        <w:rPr>
          <w:rFonts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14:paraId="02F6D4B1">
      <w:pPr>
        <w:snapToGrid w:val="0"/>
        <w:spacing w:line="360" w:lineRule="exact"/>
        <w:rPr>
          <w:rFonts w:ascii="宋体" w:hAnsi="宋体" w:cs="宋体"/>
          <w:sz w:val="24"/>
        </w:rPr>
      </w:pPr>
      <w:r>
        <w:rPr>
          <w:rFonts w:hint="eastAsia" w:ascii="宋体" w:hAnsi="宋体" w:cs="宋体"/>
          <w:sz w:val="24"/>
        </w:rPr>
        <w:t>12、投标方所投标的医用耗材（集采产品及非医用耗材除外）必须在黑龙江省医疗保障信息平台挂网，投标时要注明所投医用耗材的国家医保分类与代码，国家医保医用耗材分类范围外的医用耗材产品需提供说明，以便中标后医院向医保部门备案，投标方必须为厂家授权的配送商并可在平台上查询，中标价格不得高于挂网价格，否则投标无效。</w:t>
      </w:r>
    </w:p>
    <w:p w14:paraId="0A12F692">
      <w:pPr>
        <w:snapToGrid w:val="0"/>
        <w:spacing w:line="360" w:lineRule="exact"/>
        <w:rPr>
          <w:rFonts w:ascii="宋体" w:hAnsi="宋体" w:cs="宋体"/>
          <w:sz w:val="24"/>
        </w:rPr>
      </w:pPr>
      <w:r>
        <w:rPr>
          <w:rFonts w:hint="eastAsia" w:ascii="宋体" w:hAnsi="宋体" w:cs="宋体"/>
          <w:sz w:val="24"/>
        </w:rPr>
        <w:t>13、具体参数见附件。</w:t>
      </w:r>
    </w:p>
    <w:p w14:paraId="5B11E1E8">
      <w:pPr>
        <w:pStyle w:val="8"/>
        <w:spacing w:before="0" w:beforeAutospacing="0" w:after="0" w:afterAutospacing="0" w:line="400" w:lineRule="exac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七、报名时间及地点</w:t>
      </w:r>
    </w:p>
    <w:p w14:paraId="1D40539D">
      <w:pPr>
        <w:pStyle w:val="8"/>
        <w:spacing w:before="0" w:beforeAutospacing="0" w:after="0" w:afterAutospacing="0" w:line="40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14:paraId="31502D1F">
      <w:pPr>
        <w:pStyle w:val="8"/>
        <w:numPr>
          <w:ilvl w:val="0"/>
          <w:numId w:val="1"/>
        </w:numPr>
        <w:spacing w:before="0" w:beforeAutospacing="0" w:after="0" w:afterAutospacing="0" w:line="360" w:lineRule="auto"/>
        <w:rPr>
          <w:rFonts w:asciiTheme="minorEastAsia" w:hAnsiTheme="minorEastAsia"/>
        </w:rPr>
      </w:pPr>
      <w:r>
        <w:rPr>
          <w:rFonts w:hint="eastAsia" w:asciiTheme="minorEastAsia" w:hAnsiTheme="minorEastAsia"/>
        </w:rPr>
        <w:t>供应商资质（原件）</w:t>
      </w:r>
    </w:p>
    <w:p w14:paraId="51E1F214">
      <w:pPr>
        <w:pStyle w:val="8"/>
        <w:numPr>
          <w:ilvl w:val="0"/>
          <w:numId w:val="1"/>
        </w:numPr>
        <w:spacing w:before="0" w:beforeAutospacing="0" w:after="0" w:afterAutospacing="0" w:line="360" w:lineRule="auto"/>
        <w:rPr>
          <w:rFonts w:asciiTheme="minorEastAsia" w:hAnsiTheme="minorEastAsia"/>
        </w:rPr>
      </w:pPr>
      <w:r>
        <w:rPr>
          <w:rFonts w:hint="eastAsia" w:asciiTheme="minorEastAsia" w:hAnsiTheme="minorEastAsia"/>
        </w:rPr>
        <w:t>生产厂家资质（复印件）</w:t>
      </w:r>
    </w:p>
    <w:p w14:paraId="6B800829">
      <w:pPr>
        <w:pStyle w:val="8"/>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14:paraId="03FFA9A8">
      <w:pPr>
        <w:pStyle w:val="8"/>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14:paraId="00DD2D32">
      <w:pPr>
        <w:pStyle w:val="8"/>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14:paraId="5FF50623">
      <w:pPr>
        <w:pStyle w:val="8"/>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14:paraId="73D42A6B">
      <w:pPr>
        <w:pStyle w:val="8"/>
        <w:spacing w:before="0" w:beforeAutospacing="0" w:after="0" w:afterAutospacing="0" w:line="480" w:lineRule="exact"/>
        <w:ind w:left="-707" w:leftChars="-337" w:right="-758" w:rightChars="-361"/>
        <w:jc w:val="center"/>
        <w:rPr>
          <w:rFonts w:asciiTheme="minorEastAsia" w:hAnsiTheme="minorEastAsia"/>
          <w:b/>
          <w:sz w:val="28"/>
          <w:szCs w:val="28"/>
        </w:rPr>
      </w:pPr>
    </w:p>
    <w:p w14:paraId="2C27FA76">
      <w:pPr>
        <w:pStyle w:val="8"/>
        <w:spacing w:before="0" w:beforeAutospacing="0" w:after="0" w:afterAutospacing="0" w:line="480" w:lineRule="exact"/>
        <w:ind w:left="-707"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14:paraId="7490D92A">
      <w:pPr>
        <w:pStyle w:val="8"/>
        <w:spacing w:before="0" w:beforeAutospacing="0" w:after="0" w:afterAutospacing="0" w:line="480" w:lineRule="exact"/>
        <w:ind w:left="-850" w:leftChars="-405" w:right="-758" w:rightChars="-361"/>
        <w:rPr>
          <w:rFonts w:asciiTheme="minorEastAsia" w:hAnsiTheme="minorEastAsia"/>
          <w:b/>
          <w:bCs/>
        </w:rPr>
      </w:pPr>
      <w:r>
        <w:rPr>
          <w:rFonts w:hint="eastAsia" w:asciiTheme="minorEastAsia" w:hAnsiTheme="minorEastAsia"/>
        </w:rPr>
        <w:t>投标单位名称（公章）：时间：年月日</w:t>
      </w:r>
    </w:p>
    <w:tbl>
      <w:tblPr>
        <w:tblStyle w:val="9"/>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093"/>
        <w:gridCol w:w="567"/>
        <w:gridCol w:w="685"/>
        <w:gridCol w:w="1016"/>
        <w:gridCol w:w="651"/>
        <w:gridCol w:w="620"/>
        <w:gridCol w:w="846"/>
        <w:gridCol w:w="790"/>
        <w:gridCol w:w="529"/>
        <w:gridCol w:w="529"/>
        <w:gridCol w:w="1301"/>
      </w:tblGrid>
      <w:tr w14:paraId="6BFF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078E9A9A">
            <w:pPr>
              <w:widowControl/>
              <w:jc w:val="center"/>
              <w:rPr>
                <w:rFonts w:ascii="宋体" w:hAnsi="宋体" w:cs="宋体"/>
                <w:bCs/>
                <w:kern w:val="0"/>
                <w:szCs w:val="21"/>
              </w:rPr>
            </w:pPr>
            <w:r>
              <w:rPr>
                <w:rFonts w:hint="eastAsia" w:ascii="宋体" w:hAnsi="宋体" w:cs="宋体"/>
                <w:bCs/>
                <w:kern w:val="0"/>
                <w:szCs w:val="21"/>
              </w:rPr>
              <w:t>序号</w:t>
            </w:r>
          </w:p>
        </w:tc>
        <w:tc>
          <w:tcPr>
            <w:tcW w:w="2093" w:type="dxa"/>
            <w:shd w:val="clear" w:color="auto" w:fill="auto"/>
            <w:vAlign w:val="center"/>
          </w:tcPr>
          <w:p w14:paraId="2D305A9E">
            <w:pPr>
              <w:widowControl/>
              <w:jc w:val="center"/>
              <w:rPr>
                <w:rFonts w:ascii="宋体" w:hAnsi="宋体" w:cs="宋体"/>
                <w:bCs/>
                <w:kern w:val="0"/>
                <w:szCs w:val="21"/>
              </w:rPr>
            </w:pPr>
            <w:r>
              <w:rPr>
                <w:rFonts w:hint="eastAsia" w:ascii="宋体" w:hAnsi="宋体" w:cs="宋体"/>
                <w:bCs/>
                <w:kern w:val="0"/>
                <w:szCs w:val="21"/>
              </w:rPr>
              <w:t>采购产品名称</w:t>
            </w:r>
          </w:p>
        </w:tc>
        <w:tc>
          <w:tcPr>
            <w:tcW w:w="567" w:type="dxa"/>
            <w:vAlign w:val="center"/>
          </w:tcPr>
          <w:p w14:paraId="75EA29DD">
            <w:pPr>
              <w:widowControl/>
              <w:jc w:val="center"/>
              <w:rPr>
                <w:rFonts w:ascii="宋体" w:hAnsi="宋体" w:cs="宋体"/>
                <w:bCs/>
                <w:kern w:val="0"/>
                <w:szCs w:val="21"/>
              </w:rPr>
            </w:pPr>
            <w:r>
              <w:rPr>
                <w:rFonts w:hint="eastAsia" w:ascii="宋体" w:hAnsi="宋体" w:cs="宋体"/>
                <w:bCs/>
                <w:kern w:val="0"/>
                <w:szCs w:val="21"/>
              </w:rPr>
              <w:t>投标产品名称</w:t>
            </w:r>
          </w:p>
        </w:tc>
        <w:tc>
          <w:tcPr>
            <w:tcW w:w="685" w:type="dxa"/>
            <w:shd w:val="clear" w:color="auto" w:fill="auto"/>
            <w:vAlign w:val="center"/>
          </w:tcPr>
          <w:p w14:paraId="5D4D262C">
            <w:pPr>
              <w:widowControl/>
              <w:jc w:val="center"/>
              <w:rPr>
                <w:rFonts w:ascii="宋体" w:hAnsi="宋体" w:cs="宋体"/>
                <w:bCs/>
                <w:kern w:val="0"/>
                <w:szCs w:val="21"/>
              </w:rPr>
            </w:pPr>
            <w:r>
              <w:rPr>
                <w:rFonts w:hint="eastAsia" w:ascii="宋体" w:hAnsi="宋体" w:cs="宋体"/>
                <w:bCs/>
                <w:kern w:val="0"/>
                <w:szCs w:val="21"/>
              </w:rPr>
              <w:t>规格型号</w:t>
            </w:r>
          </w:p>
        </w:tc>
        <w:tc>
          <w:tcPr>
            <w:tcW w:w="1016" w:type="dxa"/>
            <w:shd w:val="clear" w:color="auto" w:fill="auto"/>
            <w:vAlign w:val="center"/>
          </w:tcPr>
          <w:p w14:paraId="2F5FAB6D">
            <w:pPr>
              <w:widowControl/>
              <w:jc w:val="center"/>
              <w:rPr>
                <w:rFonts w:ascii="宋体" w:hAnsi="宋体" w:cs="宋体"/>
                <w:bCs/>
                <w:kern w:val="0"/>
                <w:szCs w:val="21"/>
              </w:rPr>
            </w:pPr>
            <w:r>
              <w:rPr>
                <w:rFonts w:hint="eastAsia" w:ascii="宋体" w:hAnsi="宋体" w:cs="宋体"/>
                <w:bCs/>
                <w:kern w:val="0"/>
                <w:szCs w:val="21"/>
              </w:rPr>
              <w:t>单位</w:t>
            </w:r>
          </w:p>
        </w:tc>
        <w:tc>
          <w:tcPr>
            <w:tcW w:w="651" w:type="dxa"/>
            <w:vAlign w:val="center"/>
          </w:tcPr>
          <w:p w14:paraId="34EF2A13">
            <w:pPr>
              <w:widowControl/>
              <w:spacing w:line="360" w:lineRule="auto"/>
              <w:jc w:val="center"/>
              <w:rPr>
                <w:rFonts w:cs="宋体" w:asciiTheme="minorEastAsia" w:hAnsiTheme="minorEastAsia"/>
                <w:color w:val="000000"/>
                <w:szCs w:val="21"/>
              </w:rPr>
            </w:pPr>
            <w:r>
              <w:rPr>
                <w:rFonts w:hint="eastAsia" w:ascii="宋体" w:hAnsi="宋体" w:cs="宋体"/>
                <w:bCs/>
                <w:szCs w:val="21"/>
              </w:rPr>
              <w:t>技术参数</w:t>
            </w:r>
          </w:p>
        </w:tc>
        <w:tc>
          <w:tcPr>
            <w:tcW w:w="620" w:type="dxa"/>
            <w:vAlign w:val="center"/>
          </w:tcPr>
          <w:p w14:paraId="058BEABD">
            <w:pPr>
              <w:widowControl/>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偏离情况</w:t>
            </w:r>
          </w:p>
        </w:tc>
        <w:tc>
          <w:tcPr>
            <w:tcW w:w="846" w:type="dxa"/>
            <w:vAlign w:val="center"/>
          </w:tcPr>
          <w:p w14:paraId="5191ECD5">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90" w:type="dxa"/>
          </w:tcPr>
          <w:p w14:paraId="14E82BFC">
            <w:pPr>
              <w:widowControl/>
              <w:spacing w:line="338" w:lineRule="atLeast"/>
              <w:jc w:val="center"/>
              <w:rPr>
                <w:rFonts w:cs="宋体" w:asciiTheme="minorEastAsia" w:hAnsiTheme="minorEastAsia"/>
                <w:color w:val="000000"/>
                <w:szCs w:val="21"/>
              </w:rPr>
            </w:pPr>
            <w:r>
              <w:rPr>
                <w:rFonts w:hint="eastAsia" w:cs="宋体" w:asciiTheme="minorEastAsia" w:hAnsiTheme="minorEastAsia"/>
                <w:color w:val="000000"/>
                <w:szCs w:val="21"/>
              </w:rPr>
              <w:t>投标报价</w:t>
            </w:r>
          </w:p>
          <w:p w14:paraId="1DF03996">
            <w:pPr>
              <w:widowControl/>
              <w:jc w:val="center"/>
              <w:rPr>
                <w:rFonts w:ascii="宋体" w:hAnsi="宋体" w:cs="宋体"/>
                <w:b/>
                <w:bCs/>
                <w:kern w:val="0"/>
                <w:szCs w:val="21"/>
              </w:rPr>
            </w:pPr>
            <w:r>
              <w:rPr>
                <w:rFonts w:hint="eastAsia" w:cs="宋体" w:asciiTheme="minorEastAsia" w:hAnsiTheme="minorEastAsia"/>
                <w:color w:val="000000"/>
                <w:szCs w:val="21"/>
              </w:rPr>
              <w:t>（单价，元）</w:t>
            </w:r>
          </w:p>
        </w:tc>
        <w:tc>
          <w:tcPr>
            <w:tcW w:w="529" w:type="dxa"/>
          </w:tcPr>
          <w:p w14:paraId="2CA11228">
            <w:pPr>
              <w:widowControl/>
              <w:jc w:val="center"/>
              <w:rPr>
                <w:rFonts w:ascii="宋体" w:hAnsi="宋体" w:cs="宋体"/>
                <w:b/>
                <w:bCs/>
                <w:kern w:val="0"/>
                <w:szCs w:val="21"/>
              </w:rPr>
            </w:pPr>
            <w:r>
              <w:rPr>
                <w:rFonts w:hint="eastAsia" w:cs="宋体" w:asciiTheme="minorEastAsia" w:hAnsiTheme="minorEastAsia"/>
                <w:color w:val="000000"/>
                <w:szCs w:val="21"/>
              </w:rPr>
              <w:t>生产厂商</w:t>
            </w:r>
          </w:p>
        </w:tc>
        <w:tc>
          <w:tcPr>
            <w:tcW w:w="529" w:type="dxa"/>
          </w:tcPr>
          <w:p w14:paraId="26EA9A69">
            <w:pPr>
              <w:widowControl/>
              <w:jc w:val="center"/>
              <w:rPr>
                <w:rFonts w:ascii="宋体" w:hAnsi="宋体" w:cs="宋体"/>
                <w:b/>
                <w:bCs/>
                <w:kern w:val="0"/>
                <w:szCs w:val="21"/>
              </w:rPr>
            </w:pPr>
            <w:r>
              <w:rPr>
                <w:rFonts w:hint="eastAsia" w:cs="宋体" w:asciiTheme="minorEastAsia" w:hAnsiTheme="minorEastAsia"/>
                <w:color w:val="000000"/>
                <w:szCs w:val="21"/>
              </w:rPr>
              <w:t>产地</w:t>
            </w:r>
          </w:p>
        </w:tc>
        <w:tc>
          <w:tcPr>
            <w:tcW w:w="1301" w:type="dxa"/>
          </w:tcPr>
          <w:p w14:paraId="210970A3">
            <w:pPr>
              <w:widowControl/>
              <w:jc w:val="center"/>
              <w:rPr>
                <w:rFonts w:ascii="宋体" w:hAnsi="宋体" w:cs="宋体"/>
                <w:b/>
                <w:bCs/>
                <w:kern w:val="0"/>
                <w:szCs w:val="21"/>
              </w:rPr>
            </w:pPr>
            <w:r>
              <w:rPr>
                <w:rFonts w:hint="eastAsia" w:cs="宋体" w:asciiTheme="minorEastAsia" w:hAnsiTheme="minorEastAsia"/>
                <w:color w:val="000000"/>
                <w:szCs w:val="21"/>
              </w:rPr>
              <w:t>备注</w:t>
            </w:r>
          </w:p>
        </w:tc>
      </w:tr>
      <w:tr w14:paraId="582D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01F0350E">
            <w:pPr>
              <w:jc w:val="center"/>
              <w:rPr>
                <w:rFonts w:ascii="宋体" w:hAnsi="宋体" w:cs="宋体"/>
                <w:sz w:val="18"/>
                <w:szCs w:val="18"/>
              </w:rPr>
            </w:pPr>
            <w:r>
              <w:rPr>
                <w:rFonts w:hint="eastAsia" w:ascii="宋体" w:hAnsi="宋体"/>
                <w:sz w:val="18"/>
                <w:szCs w:val="18"/>
              </w:rPr>
              <w:t>1</w:t>
            </w:r>
          </w:p>
        </w:tc>
        <w:tc>
          <w:tcPr>
            <w:tcW w:w="2093" w:type="dxa"/>
            <w:shd w:val="clear" w:color="auto" w:fill="auto"/>
            <w:vAlign w:val="center"/>
          </w:tcPr>
          <w:p w14:paraId="3DFCA5A0">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心肌肌钙蛋白I/肌红蛋白/肌酸激酶同工酶测定试剂盒(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21F03730">
            <w:pPr>
              <w:jc w:val="center"/>
              <w:rPr>
                <w:bCs/>
                <w:sz w:val="18"/>
                <w:szCs w:val="18"/>
              </w:rPr>
            </w:pPr>
          </w:p>
        </w:tc>
        <w:tc>
          <w:tcPr>
            <w:tcW w:w="685" w:type="dxa"/>
            <w:shd w:val="clear" w:color="auto" w:fill="auto"/>
            <w:vAlign w:val="center"/>
          </w:tcPr>
          <w:p w14:paraId="7B7E4A0A">
            <w:pPr>
              <w:jc w:val="center"/>
              <w:rPr>
                <w:rFonts w:ascii="宋体" w:hAnsi="宋体" w:cs="宋体"/>
                <w:bCs/>
                <w:sz w:val="18"/>
                <w:szCs w:val="18"/>
              </w:rPr>
            </w:pPr>
          </w:p>
        </w:tc>
        <w:tc>
          <w:tcPr>
            <w:tcW w:w="1016" w:type="dxa"/>
            <w:shd w:val="clear" w:color="auto" w:fill="auto"/>
            <w:vAlign w:val="center"/>
          </w:tcPr>
          <w:p w14:paraId="206B98AC">
            <w:pPr>
              <w:jc w:val="center"/>
              <w:rPr>
                <w:rFonts w:ascii="宋体" w:hAnsi="宋体" w:cs="宋体"/>
                <w:sz w:val="18"/>
                <w:szCs w:val="18"/>
              </w:rPr>
            </w:pPr>
            <w:r>
              <w:rPr>
                <w:rFonts w:hint="eastAsia" w:ascii="宋体" w:hAnsi="宋体"/>
                <w:sz w:val="18"/>
                <w:szCs w:val="18"/>
              </w:rPr>
              <w:t>人份</w:t>
            </w:r>
          </w:p>
        </w:tc>
        <w:tc>
          <w:tcPr>
            <w:tcW w:w="651" w:type="dxa"/>
            <w:vAlign w:val="center"/>
          </w:tcPr>
          <w:p w14:paraId="2A3FFB7F">
            <w:pPr>
              <w:jc w:val="center"/>
              <w:rPr>
                <w:rFonts w:ascii="宋体" w:hAnsi="宋体" w:cs="宋体"/>
                <w:bCs/>
                <w:sz w:val="18"/>
                <w:szCs w:val="18"/>
              </w:rPr>
            </w:pPr>
          </w:p>
        </w:tc>
        <w:tc>
          <w:tcPr>
            <w:tcW w:w="620" w:type="dxa"/>
          </w:tcPr>
          <w:p w14:paraId="035CA2E6">
            <w:pPr>
              <w:widowControl/>
              <w:jc w:val="center"/>
              <w:rPr>
                <w:rFonts w:ascii="宋体" w:hAnsi="宋体" w:cs="宋体"/>
                <w:kern w:val="0"/>
                <w:sz w:val="18"/>
                <w:szCs w:val="18"/>
              </w:rPr>
            </w:pPr>
          </w:p>
        </w:tc>
        <w:tc>
          <w:tcPr>
            <w:tcW w:w="846" w:type="dxa"/>
            <w:vAlign w:val="center"/>
          </w:tcPr>
          <w:p w14:paraId="58D6DBF9">
            <w:pPr>
              <w:jc w:val="center"/>
              <w:rPr>
                <w:rFonts w:ascii="宋体" w:hAnsi="宋体" w:cs="宋体"/>
                <w:sz w:val="24"/>
              </w:rPr>
            </w:pPr>
            <w:r>
              <w:rPr>
                <w:rFonts w:hint="eastAsia" w:ascii="Calibri" w:hAnsi="Calibri" w:eastAsia="宋体" w:cs="Times New Roman"/>
                <w:b w:val="0"/>
                <w:bCs/>
              </w:rPr>
              <w:t>87.3</w:t>
            </w:r>
          </w:p>
        </w:tc>
        <w:tc>
          <w:tcPr>
            <w:tcW w:w="790" w:type="dxa"/>
          </w:tcPr>
          <w:p w14:paraId="4826657F">
            <w:pPr>
              <w:widowControl/>
              <w:jc w:val="center"/>
              <w:rPr>
                <w:rFonts w:ascii="宋体" w:hAnsi="宋体" w:cs="宋体"/>
                <w:kern w:val="0"/>
                <w:szCs w:val="21"/>
              </w:rPr>
            </w:pPr>
          </w:p>
        </w:tc>
        <w:tc>
          <w:tcPr>
            <w:tcW w:w="529" w:type="dxa"/>
          </w:tcPr>
          <w:p w14:paraId="032CD4C8">
            <w:pPr>
              <w:widowControl/>
              <w:jc w:val="center"/>
              <w:rPr>
                <w:rFonts w:ascii="宋体" w:hAnsi="宋体" w:cs="宋体"/>
                <w:kern w:val="0"/>
                <w:szCs w:val="21"/>
              </w:rPr>
            </w:pPr>
          </w:p>
        </w:tc>
        <w:tc>
          <w:tcPr>
            <w:tcW w:w="529" w:type="dxa"/>
          </w:tcPr>
          <w:p w14:paraId="039CFD06">
            <w:pPr>
              <w:widowControl/>
              <w:jc w:val="center"/>
              <w:rPr>
                <w:rFonts w:ascii="宋体" w:hAnsi="宋体" w:cs="宋体"/>
                <w:kern w:val="0"/>
                <w:szCs w:val="21"/>
              </w:rPr>
            </w:pPr>
          </w:p>
        </w:tc>
        <w:tc>
          <w:tcPr>
            <w:tcW w:w="1301" w:type="dxa"/>
            <w:vMerge w:val="restart"/>
            <w:vAlign w:val="center"/>
          </w:tcPr>
          <w:p w14:paraId="1BEDCDF1">
            <w:pPr>
              <w:widowControl/>
              <w:jc w:val="center"/>
              <w:rPr>
                <w:rFonts w:ascii="宋体" w:hAnsi="宋体" w:cs="宋体"/>
                <w:kern w:val="0"/>
                <w:szCs w:val="21"/>
              </w:rPr>
            </w:pPr>
            <w:r>
              <w:rPr>
                <w:rFonts w:hint="eastAsia" w:ascii="宋体" w:hAnsi="宋体" w:cs="宋体"/>
                <w:bCs/>
                <w:sz w:val="18"/>
                <w:szCs w:val="18"/>
              </w:rPr>
              <w:t>能够与POCT分析仪配套使用</w:t>
            </w:r>
          </w:p>
        </w:tc>
      </w:tr>
      <w:tr w14:paraId="239D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20A92DF3">
            <w:pPr>
              <w:jc w:val="center"/>
              <w:rPr>
                <w:rFonts w:ascii="宋体" w:hAnsi="宋体" w:cs="宋体"/>
                <w:sz w:val="18"/>
                <w:szCs w:val="18"/>
              </w:rPr>
            </w:pPr>
            <w:r>
              <w:rPr>
                <w:rFonts w:hint="eastAsia" w:ascii="宋体" w:hAnsi="宋体"/>
                <w:sz w:val="18"/>
                <w:szCs w:val="18"/>
              </w:rPr>
              <w:t>2</w:t>
            </w:r>
          </w:p>
        </w:tc>
        <w:tc>
          <w:tcPr>
            <w:tcW w:w="2093" w:type="dxa"/>
            <w:shd w:val="clear" w:color="auto" w:fill="auto"/>
            <w:vAlign w:val="center"/>
          </w:tcPr>
          <w:p w14:paraId="44D9E60B">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N端脑钠肽前体测定试剂盒(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6FB4930E">
            <w:pPr>
              <w:jc w:val="center"/>
              <w:rPr>
                <w:bCs/>
                <w:sz w:val="18"/>
                <w:szCs w:val="18"/>
              </w:rPr>
            </w:pPr>
          </w:p>
        </w:tc>
        <w:tc>
          <w:tcPr>
            <w:tcW w:w="685" w:type="dxa"/>
            <w:shd w:val="clear" w:color="auto" w:fill="auto"/>
            <w:vAlign w:val="center"/>
          </w:tcPr>
          <w:p w14:paraId="716F7683">
            <w:pPr>
              <w:jc w:val="center"/>
              <w:rPr>
                <w:rFonts w:ascii="宋体" w:hAnsi="宋体" w:cs="宋体"/>
                <w:bCs/>
                <w:sz w:val="18"/>
                <w:szCs w:val="18"/>
              </w:rPr>
            </w:pPr>
          </w:p>
        </w:tc>
        <w:tc>
          <w:tcPr>
            <w:tcW w:w="1016" w:type="dxa"/>
            <w:shd w:val="clear" w:color="auto" w:fill="auto"/>
            <w:vAlign w:val="center"/>
          </w:tcPr>
          <w:p w14:paraId="76E90E2D">
            <w:pPr>
              <w:jc w:val="center"/>
              <w:rPr>
                <w:rFonts w:ascii="宋体" w:hAnsi="宋体" w:cs="宋体"/>
                <w:sz w:val="18"/>
                <w:szCs w:val="18"/>
              </w:rPr>
            </w:pPr>
            <w:r>
              <w:rPr>
                <w:rFonts w:hint="eastAsia" w:ascii="宋体" w:hAnsi="宋体"/>
                <w:sz w:val="18"/>
                <w:szCs w:val="18"/>
              </w:rPr>
              <w:t>人份</w:t>
            </w:r>
          </w:p>
        </w:tc>
        <w:tc>
          <w:tcPr>
            <w:tcW w:w="651" w:type="dxa"/>
            <w:vAlign w:val="center"/>
          </w:tcPr>
          <w:p w14:paraId="14FC4408">
            <w:pPr>
              <w:jc w:val="center"/>
              <w:rPr>
                <w:rFonts w:ascii="宋体" w:hAnsi="宋体" w:cs="宋体"/>
                <w:bCs/>
                <w:sz w:val="18"/>
                <w:szCs w:val="18"/>
              </w:rPr>
            </w:pPr>
          </w:p>
        </w:tc>
        <w:tc>
          <w:tcPr>
            <w:tcW w:w="620" w:type="dxa"/>
          </w:tcPr>
          <w:p w14:paraId="7C6B6B61">
            <w:pPr>
              <w:widowControl/>
              <w:jc w:val="center"/>
              <w:rPr>
                <w:rFonts w:ascii="宋体" w:hAnsi="宋体" w:cs="宋体"/>
                <w:kern w:val="0"/>
                <w:sz w:val="18"/>
                <w:szCs w:val="18"/>
              </w:rPr>
            </w:pPr>
          </w:p>
        </w:tc>
        <w:tc>
          <w:tcPr>
            <w:tcW w:w="846" w:type="dxa"/>
            <w:vAlign w:val="center"/>
          </w:tcPr>
          <w:p w14:paraId="10EB2DC1">
            <w:pPr>
              <w:jc w:val="center"/>
              <w:rPr>
                <w:rFonts w:ascii="宋体" w:hAnsi="宋体" w:cs="宋体"/>
                <w:sz w:val="24"/>
              </w:rPr>
            </w:pPr>
            <w:r>
              <w:rPr>
                <w:rFonts w:hint="eastAsia" w:ascii="Calibri" w:hAnsi="Calibri" w:eastAsia="宋体" w:cs="Times New Roman"/>
                <w:b w:val="0"/>
                <w:bCs/>
              </w:rPr>
              <w:t>92.15</w:t>
            </w:r>
          </w:p>
        </w:tc>
        <w:tc>
          <w:tcPr>
            <w:tcW w:w="790" w:type="dxa"/>
          </w:tcPr>
          <w:p w14:paraId="41E4E37C">
            <w:pPr>
              <w:widowControl/>
              <w:jc w:val="center"/>
              <w:rPr>
                <w:rFonts w:ascii="宋体" w:hAnsi="宋体" w:cs="宋体"/>
                <w:kern w:val="0"/>
                <w:szCs w:val="21"/>
              </w:rPr>
            </w:pPr>
          </w:p>
        </w:tc>
        <w:tc>
          <w:tcPr>
            <w:tcW w:w="529" w:type="dxa"/>
          </w:tcPr>
          <w:p w14:paraId="4FCD5317">
            <w:pPr>
              <w:widowControl/>
              <w:jc w:val="center"/>
              <w:rPr>
                <w:rFonts w:ascii="宋体" w:hAnsi="宋体" w:cs="宋体"/>
                <w:kern w:val="0"/>
                <w:szCs w:val="21"/>
              </w:rPr>
            </w:pPr>
          </w:p>
        </w:tc>
        <w:tc>
          <w:tcPr>
            <w:tcW w:w="529" w:type="dxa"/>
          </w:tcPr>
          <w:p w14:paraId="12CF4D53">
            <w:pPr>
              <w:widowControl/>
              <w:jc w:val="center"/>
              <w:rPr>
                <w:rFonts w:ascii="宋体" w:hAnsi="宋体" w:cs="宋体"/>
                <w:kern w:val="0"/>
                <w:szCs w:val="21"/>
              </w:rPr>
            </w:pPr>
          </w:p>
        </w:tc>
        <w:tc>
          <w:tcPr>
            <w:tcW w:w="1301" w:type="dxa"/>
            <w:vMerge w:val="continue"/>
          </w:tcPr>
          <w:p w14:paraId="6A9E39F5">
            <w:pPr>
              <w:widowControl/>
              <w:jc w:val="center"/>
              <w:rPr>
                <w:rFonts w:ascii="宋体" w:hAnsi="宋体" w:cs="宋体"/>
                <w:kern w:val="0"/>
                <w:szCs w:val="21"/>
              </w:rPr>
            </w:pPr>
          </w:p>
        </w:tc>
      </w:tr>
      <w:tr w14:paraId="305E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3558D7EE">
            <w:pPr>
              <w:jc w:val="center"/>
              <w:rPr>
                <w:rFonts w:ascii="宋体" w:hAnsi="宋体" w:cs="宋体"/>
                <w:sz w:val="18"/>
                <w:szCs w:val="18"/>
              </w:rPr>
            </w:pPr>
            <w:r>
              <w:rPr>
                <w:rFonts w:hint="eastAsia" w:ascii="宋体" w:hAnsi="宋体"/>
                <w:sz w:val="18"/>
                <w:szCs w:val="18"/>
              </w:rPr>
              <w:t>3</w:t>
            </w:r>
          </w:p>
        </w:tc>
        <w:tc>
          <w:tcPr>
            <w:tcW w:w="2093" w:type="dxa"/>
            <w:shd w:val="clear" w:color="auto" w:fill="auto"/>
            <w:vAlign w:val="center"/>
          </w:tcPr>
          <w:p w14:paraId="551975B5">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全程C-反应蛋白测定试剂盒(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42756443">
            <w:pPr>
              <w:jc w:val="center"/>
              <w:rPr>
                <w:bCs/>
                <w:sz w:val="18"/>
                <w:szCs w:val="18"/>
              </w:rPr>
            </w:pPr>
          </w:p>
        </w:tc>
        <w:tc>
          <w:tcPr>
            <w:tcW w:w="685" w:type="dxa"/>
            <w:shd w:val="clear" w:color="auto" w:fill="auto"/>
            <w:vAlign w:val="center"/>
          </w:tcPr>
          <w:p w14:paraId="7B7F864D">
            <w:pPr>
              <w:jc w:val="center"/>
              <w:rPr>
                <w:rFonts w:ascii="宋体" w:hAnsi="宋体" w:cs="宋体"/>
                <w:bCs/>
                <w:sz w:val="18"/>
                <w:szCs w:val="18"/>
              </w:rPr>
            </w:pPr>
          </w:p>
        </w:tc>
        <w:tc>
          <w:tcPr>
            <w:tcW w:w="1016" w:type="dxa"/>
            <w:shd w:val="clear" w:color="auto" w:fill="auto"/>
            <w:vAlign w:val="center"/>
          </w:tcPr>
          <w:p w14:paraId="270893FB">
            <w:pPr>
              <w:jc w:val="center"/>
              <w:rPr>
                <w:rFonts w:ascii="宋体" w:hAnsi="宋体" w:cs="宋体"/>
                <w:sz w:val="18"/>
                <w:szCs w:val="18"/>
              </w:rPr>
            </w:pPr>
            <w:r>
              <w:rPr>
                <w:rFonts w:hint="eastAsia" w:ascii="宋体" w:hAnsi="宋体"/>
                <w:sz w:val="18"/>
                <w:szCs w:val="18"/>
              </w:rPr>
              <w:t>人份</w:t>
            </w:r>
          </w:p>
        </w:tc>
        <w:tc>
          <w:tcPr>
            <w:tcW w:w="651" w:type="dxa"/>
            <w:vAlign w:val="center"/>
          </w:tcPr>
          <w:p w14:paraId="27C32010">
            <w:pPr>
              <w:jc w:val="center"/>
              <w:rPr>
                <w:rFonts w:ascii="宋体" w:hAnsi="宋体" w:cs="宋体"/>
                <w:bCs/>
                <w:sz w:val="18"/>
                <w:szCs w:val="18"/>
              </w:rPr>
            </w:pPr>
          </w:p>
        </w:tc>
        <w:tc>
          <w:tcPr>
            <w:tcW w:w="620" w:type="dxa"/>
          </w:tcPr>
          <w:p w14:paraId="438413D0">
            <w:pPr>
              <w:widowControl/>
              <w:jc w:val="center"/>
              <w:rPr>
                <w:rFonts w:ascii="宋体" w:hAnsi="宋体" w:cs="宋体"/>
                <w:kern w:val="0"/>
                <w:sz w:val="18"/>
                <w:szCs w:val="18"/>
              </w:rPr>
            </w:pPr>
          </w:p>
        </w:tc>
        <w:tc>
          <w:tcPr>
            <w:tcW w:w="846" w:type="dxa"/>
            <w:vAlign w:val="center"/>
          </w:tcPr>
          <w:p w14:paraId="411EE973">
            <w:pPr>
              <w:jc w:val="center"/>
              <w:rPr>
                <w:rFonts w:ascii="宋体" w:hAnsi="宋体" w:cs="宋体"/>
                <w:sz w:val="24"/>
              </w:rPr>
            </w:pPr>
            <w:r>
              <w:rPr>
                <w:rFonts w:hint="eastAsia" w:ascii="Calibri" w:hAnsi="Calibri" w:eastAsia="宋体" w:cs="Times New Roman"/>
                <w:b w:val="0"/>
                <w:bCs/>
              </w:rPr>
              <w:t>8.73</w:t>
            </w:r>
          </w:p>
        </w:tc>
        <w:tc>
          <w:tcPr>
            <w:tcW w:w="790" w:type="dxa"/>
          </w:tcPr>
          <w:p w14:paraId="699086C2">
            <w:pPr>
              <w:widowControl/>
              <w:jc w:val="center"/>
              <w:rPr>
                <w:rFonts w:ascii="宋体" w:hAnsi="宋体" w:cs="宋体"/>
                <w:kern w:val="0"/>
                <w:szCs w:val="21"/>
              </w:rPr>
            </w:pPr>
          </w:p>
        </w:tc>
        <w:tc>
          <w:tcPr>
            <w:tcW w:w="529" w:type="dxa"/>
          </w:tcPr>
          <w:p w14:paraId="6D5F3488">
            <w:pPr>
              <w:widowControl/>
              <w:jc w:val="center"/>
              <w:rPr>
                <w:rFonts w:ascii="宋体" w:hAnsi="宋体" w:cs="宋体"/>
                <w:kern w:val="0"/>
                <w:szCs w:val="21"/>
              </w:rPr>
            </w:pPr>
          </w:p>
        </w:tc>
        <w:tc>
          <w:tcPr>
            <w:tcW w:w="529" w:type="dxa"/>
          </w:tcPr>
          <w:p w14:paraId="3CAA3E94">
            <w:pPr>
              <w:widowControl/>
              <w:jc w:val="center"/>
              <w:rPr>
                <w:rFonts w:ascii="宋体" w:hAnsi="宋体" w:cs="宋体"/>
                <w:kern w:val="0"/>
                <w:szCs w:val="21"/>
              </w:rPr>
            </w:pPr>
          </w:p>
        </w:tc>
        <w:tc>
          <w:tcPr>
            <w:tcW w:w="1301" w:type="dxa"/>
            <w:vMerge w:val="continue"/>
          </w:tcPr>
          <w:p w14:paraId="47457793">
            <w:pPr>
              <w:widowControl/>
              <w:jc w:val="center"/>
              <w:rPr>
                <w:rFonts w:ascii="宋体" w:hAnsi="宋体" w:cs="宋体"/>
                <w:kern w:val="0"/>
                <w:szCs w:val="21"/>
              </w:rPr>
            </w:pPr>
          </w:p>
        </w:tc>
      </w:tr>
      <w:tr w14:paraId="1ABA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7731F191">
            <w:pPr>
              <w:jc w:val="center"/>
              <w:rPr>
                <w:rFonts w:ascii="宋体" w:hAnsi="宋体" w:cs="宋体"/>
                <w:sz w:val="18"/>
                <w:szCs w:val="18"/>
              </w:rPr>
            </w:pPr>
            <w:r>
              <w:rPr>
                <w:rFonts w:hint="eastAsia" w:ascii="宋体" w:hAnsi="宋体"/>
                <w:sz w:val="18"/>
                <w:szCs w:val="18"/>
              </w:rPr>
              <w:t>4</w:t>
            </w:r>
          </w:p>
        </w:tc>
        <w:tc>
          <w:tcPr>
            <w:tcW w:w="2093" w:type="dxa"/>
            <w:shd w:val="clear" w:color="auto" w:fill="auto"/>
            <w:vAlign w:val="center"/>
          </w:tcPr>
          <w:p w14:paraId="3A5CA2E1">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C-反应蛋白测定试剂(</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5ECDA4C1">
            <w:pPr>
              <w:jc w:val="center"/>
              <w:rPr>
                <w:bCs/>
                <w:sz w:val="18"/>
                <w:szCs w:val="18"/>
              </w:rPr>
            </w:pPr>
          </w:p>
        </w:tc>
        <w:tc>
          <w:tcPr>
            <w:tcW w:w="685" w:type="dxa"/>
            <w:shd w:val="clear" w:color="auto" w:fill="auto"/>
            <w:vAlign w:val="center"/>
          </w:tcPr>
          <w:p w14:paraId="10218B32">
            <w:pPr>
              <w:jc w:val="center"/>
              <w:rPr>
                <w:rFonts w:ascii="宋体" w:hAnsi="宋体" w:cs="宋体"/>
                <w:bCs/>
                <w:sz w:val="18"/>
                <w:szCs w:val="18"/>
              </w:rPr>
            </w:pPr>
          </w:p>
        </w:tc>
        <w:tc>
          <w:tcPr>
            <w:tcW w:w="1016" w:type="dxa"/>
            <w:shd w:val="clear" w:color="auto" w:fill="auto"/>
            <w:vAlign w:val="center"/>
          </w:tcPr>
          <w:p w14:paraId="2FB3EBDA">
            <w:pPr>
              <w:jc w:val="center"/>
              <w:rPr>
                <w:rFonts w:ascii="宋体" w:hAnsi="宋体" w:cs="宋体"/>
                <w:sz w:val="18"/>
                <w:szCs w:val="18"/>
              </w:rPr>
            </w:pPr>
            <w:r>
              <w:rPr>
                <w:rFonts w:hint="eastAsia" w:ascii="宋体" w:hAnsi="宋体"/>
                <w:sz w:val="18"/>
                <w:szCs w:val="18"/>
              </w:rPr>
              <w:t>人份</w:t>
            </w:r>
          </w:p>
        </w:tc>
        <w:tc>
          <w:tcPr>
            <w:tcW w:w="651" w:type="dxa"/>
            <w:vAlign w:val="center"/>
          </w:tcPr>
          <w:p w14:paraId="4CEB12CF">
            <w:pPr>
              <w:jc w:val="center"/>
              <w:rPr>
                <w:bCs/>
                <w:sz w:val="18"/>
                <w:szCs w:val="18"/>
              </w:rPr>
            </w:pPr>
          </w:p>
        </w:tc>
        <w:tc>
          <w:tcPr>
            <w:tcW w:w="620" w:type="dxa"/>
          </w:tcPr>
          <w:p w14:paraId="05ECA17D">
            <w:pPr>
              <w:widowControl/>
              <w:jc w:val="center"/>
              <w:rPr>
                <w:rFonts w:ascii="宋体" w:hAnsi="宋体" w:cs="宋体"/>
                <w:kern w:val="0"/>
                <w:sz w:val="18"/>
                <w:szCs w:val="18"/>
              </w:rPr>
            </w:pPr>
          </w:p>
        </w:tc>
        <w:tc>
          <w:tcPr>
            <w:tcW w:w="846" w:type="dxa"/>
            <w:vAlign w:val="center"/>
          </w:tcPr>
          <w:p w14:paraId="77E40190">
            <w:pPr>
              <w:jc w:val="center"/>
              <w:rPr>
                <w:rFonts w:ascii="宋体" w:hAnsi="宋体" w:cs="宋体"/>
                <w:sz w:val="24"/>
              </w:rPr>
            </w:pPr>
            <w:r>
              <w:rPr>
                <w:rFonts w:hint="eastAsia" w:cs="Times New Roman"/>
                <w:b w:val="0"/>
                <w:bCs/>
                <w:lang w:val="en-US" w:eastAsia="zh-CN"/>
              </w:rPr>
              <w:t>8.73</w:t>
            </w:r>
          </w:p>
        </w:tc>
        <w:tc>
          <w:tcPr>
            <w:tcW w:w="790" w:type="dxa"/>
          </w:tcPr>
          <w:p w14:paraId="60D71587">
            <w:pPr>
              <w:widowControl/>
              <w:jc w:val="center"/>
              <w:rPr>
                <w:rFonts w:ascii="宋体" w:hAnsi="宋体" w:cs="宋体"/>
                <w:kern w:val="0"/>
                <w:szCs w:val="21"/>
              </w:rPr>
            </w:pPr>
          </w:p>
        </w:tc>
        <w:tc>
          <w:tcPr>
            <w:tcW w:w="529" w:type="dxa"/>
          </w:tcPr>
          <w:p w14:paraId="6F0157A6">
            <w:pPr>
              <w:widowControl/>
              <w:jc w:val="center"/>
              <w:rPr>
                <w:rFonts w:ascii="宋体" w:hAnsi="宋体" w:cs="宋体"/>
                <w:kern w:val="0"/>
                <w:szCs w:val="21"/>
              </w:rPr>
            </w:pPr>
          </w:p>
        </w:tc>
        <w:tc>
          <w:tcPr>
            <w:tcW w:w="529" w:type="dxa"/>
          </w:tcPr>
          <w:p w14:paraId="5B9E77BE">
            <w:pPr>
              <w:widowControl/>
              <w:jc w:val="center"/>
              <w:rPr>
                <w:rFonts w:ascii="宋体" w:hAnsi="宋体" w:cs="宋体"/>
                <w:kern w:val="0"/>
                <w:szCs w:val="21"/>
              </w:rPr>
            </w:pPr>
          </w:p>
        </w:tc>
        <w:tc>
          <w:tcPr>
            <w:tcW w:w="1301" w:type="dxa"/>
            <w:vMerge w:val="continue"/>
          </w:tcPr>
          <w:p w14:paraId="6579A3D8">
            <w:pPr>
              <w:widowControl/>
              <w:jc w:val="center"/>
              <w:rPr>
                <w:rFonts w:ascii="宋体" w:hAnsi="宋体" w:cs="宋体"/>
                <w:kern w:val="0"/>
                <w:szCs w:val="21"/>
              </w:rPr>
            </w:pPr>
          </w:p>
        </w:tc>
      </w:tr>
      <w:tr w14:paraId="3745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06D47555">
            <w:pPr>
              <w:jc w:val="center"/>
              <w:rPr>
                <w:rFonts w:ascii="宋体" w:hAnsi="宋体" w:cs="宋体"/>
                <w:sz w:val="18"/>
                <w:szCs w:val="18"/>
              </w:rPr>
            </w:pPr>
            <w:r>
              <w:rPr>
                <w:rFonts w:hint="eastAsia" w:ascii="宋体" w:hAnsi="宋体"/>
                <w:sz w:val="18"/>
                <w:szCs w:val="18"/>
              </w:rPr>
              <w:t>5</w:t>
            </w:r>
          </w:p>
        </w:tc>
        <w:tc>
          <w:tcPr>
            <w:tcW w:w="2093" w:type="dxa"/>
            <w:shd w:val="clear" w:color="auto" w:fill="auto"/>
            <w:vAlign w:val="center"/>
          </w:tcPr>
          <w:p w14:paraId="1F5FC9C7">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肌红蛋白测定试剂盒(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4D146860">
            <w:pPr>
              <w:jc w:val="center"/>
              <w:rPr>
                <w:bCs/>
                <w:sz w:val="18"/>
                <w:szCs w:val="18"/>
              </w:rPr>
            </w:pPr>
          </w:p>
        </w:tc>
        <w:tc>
          <w:tcPr>
            <w:tcW w:w="685" w:type="dxa"/>
            <w:shd w:val="clear" w:color="auto" w:fill="auto"/>
            <w:vAlign w:val="center"/>
          </w:tcPr>
          <w:p w14:paraId="2195CDC1">
            <w:pPr>
              <w:jc w:val="center"/>
              <w:rPr>
                <w:rFonts w:ascii="宋体" w:hAnsi="宋体" w:cs="宋体"/>
                <w:bCs/>
                <w:sz w:val="18"/>
                <w:szCs w:val="18"/>
              </w:rPr>
            </w:pPr>
          </w:p>
        </w:tc>
        <w:tc>
          <w:tcPr>
            <w:tcW w:w="1016" w:type="dxa"/>
            <w:shd w:val="clear" w:color="auto" w:fill="auto"/>
            <w:vAlign w:val="center"/>
          </w:tcPr>
          <w:p w14:paraId="6A9AFCCB">
            <w:pPr>
              <w:jc w:val="center"/>
              <w:rPr>
                <w:rFonts w:ascii="宋体" w:hAnsi="宋体" w:cs="宋体"/>
                <w:sz w:val="18"/>
                <w:szCs w:val="18"/>
              </w:rPr>
            </w:pPr>
            <w:r>
              <w:rPr>
                <w:rFonts w:hint="eastAsia" w:ascii="宋体" w:hAnsi="宋体"/>
                <w:sz w:val="18"/>
                <w:szCs w:val="18"/>
              </w:rPr>
              <w:t>人份</w:t>
            </w:r>
          </w:p>
        </w:tc>
        <w:tc>
          <w:tcPr>
            <w:tcW w:w="651" w:type="dxa"/>
            <w:vAlign w:val="center"/>
          </w:tcPr>
          <w:p w14:paraId="3FDFCB45">
            <w:pPr>
              <w:jc w:val="center"/>
              <w:rPr>
                <w:bCs/>
                <w:sz w:val="18"/>
                <w:szCs w:val="18"/>
              </w:rPr>
            </w:pPr>
          </w:p>
        </w:tc>
        <w:tc>
          <w:tcPr>
            <w:tcW w:w="620" w:type="dxa"/>
          </w:tcPr>
          <w:p w14:paraId="3C375A59">
            <w:pPr>
              <w:widowControl/>
              <w:jc w:val="center"/>
              <w:rPr>
                <w:rFonts w:ascii="宋体" w:hAnsi="宋体" w:cs="宋体"/>
                <w:kern w:val="0"/>
                <w:sz w:val="18"/>
                <w:szCs w:val="18"/>
              </w:rPr>
            </w:pPr>
          </w:p>
        </w:tc>
        <w:tc>
          <w:tcPr>
            <w:tcW w:w="846" w:type="dxa"/>
            <w:vAlign w:val="center"/>
          </w:tcPr>
          <w:p w14:paraId="1E88A6BF">
            <w:pPr>
              <w:jc w:val="center"/>
              <w:rPr>
                <w:rFonts w:ascii="宋体" w:hAnsi="宋体" w:cs="宋体"/>
                <w:bCs/>
                <w:kern w:val="0"/>
                <w:sz w:val="18"/>
                <w:szCs w:val="18"/>
              </w:rPr>
            </w:pPr>
            <w:r>
              <w:rPr>
                <w:rFonts w:hint="eastAsia" w:cs="Times New Roman"/>
                <w:b w:val="0"/>
                <w:bCs/>
                <w:lang w:val="en-US" w:eastAsia="zh-CN"/>
              </w:rPr>
              <w:t>22.2</w:t>
            </w:r>
          </w:p>
        </w:tc>
        <w:tc>
          <w:tcPr>
            <w:tcW w:w="790" w:type="dxa"/>
          </w:tcPr>
          <w:p w14:paraId="0DCB202A">
            <w:pPr>
              <w:widowControl/>
              <w:jc w:val="center"/>
              <w:rPr>
                <w:rFonts w:ascii="宋体" w:hAnsi="宋体" w:cs="宋体"/>
                <w:kern w:val="0"/>
                <w:szCs w:val="21"/>
              </w:rPr>
            </w:pPr>
          </w:p>
        </w:tc>
        <w:tc>
          <w:tcPr>
            <w:tcW w:w="529" w:type="dxa"/>
          </w:tcPr>
          <w:p w14:paraId="5B3A5DED">
            <w:pPr>
              <w:widowControl/>
              <w:jc w:val="center"/>
              <w:rPr>
                <w:rFonts w:ascii="宋体" w:hAnsi="宋体" w:cs="宋体"/>
                <w:kern w:val="0"/>
                <w:szCs w:val="21"/>
              </w:rPr>
            </w:pPr>
          </w:p>
        </w:tc>
        <w:tc>
          <w:tcPr>
            <w:tcW w:w="529" w:type="dxa"/>
          </w:tcPr>
          <w:p w14:paraId="2F660CCE">
            <w:pPr>
              <w:widowControl/>
              <w:jc w:val="center"/>
              <w:rPr>
                <w:rFonts w:ascii="宋体" w:hAnsi="宋体" w:cs="宋体"/>
                <w:kern w:val="0"/>
                <w:szCs w:val="21"/>
              </w:rPr>
            </w:pPr>
          </w:p>
        </w:tc>
        <w:tc>
          <w:tcPr>
            <w:tcW w:w="1301" w:type="dxa"/>
            <w:vMerge w:val="continue"/>
          </w:tcPr>
          <w:p w14:paraId="219A0CEB">
            <w:pPr>
              <w:widowControl/>
              <w:jc w:val="center"/>
              <w:rPr>
                <w:rFonts w:ascii="宋体" w:hAnsi="宋体" w:cs="宋体"/>
                <w:kern w:val="0"/>
                <w:szCs w:val="21"/>
              </w:rPr>
            </w:pPr>
          </w:p>
        </w:tc>
      </w:tr>
      <w:tr w14:paraId="496E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3CD2C461">
            <w:pPr>
              <w:jc w:val="center"/>
              <w:rPr>
                <w:rFonts w:ascii="宋体" w:hAnsi="宋体" w:cs="宋体"/>
                <w:sz w:val="18"/>
                <w:szCs w:val="18"/>
              </w:rPr>
            </w:pPr>
            <w:r>
              <w:rPr>
                <w:rFonts w:hint="eastAsia" w:ascii="宋体" w:hAnsi="宋体"/>
                <w:sz w:val="18"/>
                <w:szCs w:val="18"/>
              </w:rPr>
              <w:t>6</w:t>
            </w:r>
          </w:p>
        </w:tc>
        <w:tc>
          <w:tcPr>
            <w:tcW w:w="2093" w:type="dxa"/>
            <w:shd w:val="clear" w:color="auto" w:fill="auto"/>
            <w:vAlign w:val="center"/>
          </w:tcPr>
          <w:p w14:paraId="5D36F919">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肌酸激酶同工酶测定试剂盒(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38CF1020">
            <w:pPr>
              <w:jc w:val="center"/>
              <w:rPr>
                <w:bCs/>
                <w:sz w:val="18"/>
                <w:szCs w:val="18"/>
              </w:rPr>
            </w:pPr>
          </w:p>
        </w:tc>
        <w:tc>
          <w:tcPr>
            <w:tcW w:w="685" w:type="dxa"/>
            <w:shd w:val="clear" w:color="auto" w:fill="auto"/>
            <w:vAlign w:val="center"/>
          </w:tcPr>
          <w:p w14:paraId="5005BE5F">
            <w:pPr>
              <w:jc w:val="center"/>
              <w:rPr>
                <w:rFonts w:ascii="宋体" w:hAnsi="宋体" w:cs="宋体"/>
                <w:bCs/>
                <w:sz w:val="18"/>
                <w:szCs w:val="18"/>
              </w:rPr>
            </w:pPr>
          </w:p>
        </w:tc>
        <w:tc>
          <w:tcPr>
            <w:tcW w:w="1016" w:type="dxa"/>
            <w:shd w:val="clear" w:color="auto" w:fill="auto"/>
            <w:vAlign w:val="center"/>
          </w:tcPr>
          <w:p w14:paraId="1DB67A08">
            <w:pPr>
              <w:jc w:val="center"/>
              <w:rPr>
                <w:rFonts w:ascii="宋体" w:hAnsi="宋体" w:cs="宋体"/>
                <w:sz w:val="18"/>
                <w:szCs w:val="18"/>
              </w:rPr>
            </w:pPr>
            <w:r>
              <w:rPr>
                <w:rFonts w:hint="eastAsia" w:ascii="宋体" w:hAnsi="宋体"/>
                <w:sz w:val="18"/>
                <w:szCs w:val="18"/>
              </w:rPr>
              <w:t>人份</w:t>
            </w:r>
          </w:p>
        </w:tc>
        <w:tc>
          <w:tcPr>
            <w:tcW w:w="651" w:type="dxa"/>
            <w:vAlign w:val="center"/>
          </w:tcPr>
          <w:p w14:paraId="6785D4E3">
            <w:pPr>
              <w:jc w:val="center"/>
              <w:rPr>
                <w:bCs/>
                <w:sz w:val="18"/>
                <w:szCs w:val="18"/>
              </w:rPr>
            </w:pPr>
          </w:p>
        </w:tc>
        <w:tc>
          <w:tcPr>
            <w:tcW w:w="620" w:type="dxa"/>
          </w:tcPr>
          <w:p w14:paraId="673F7DD2">
            <w:pPr>
              <w:widowControl/>
              <w:jc w:val="center"/>
              <w:rPr>
                <w:rFonts w:ascii="宋体" w:hAnsi="宋体" w:cs="宋体"/>
                <w:kern w:val="0"/>
                <w:sz w:val="18"/>
                <w:szCs w:val="18"/>
              </w:rPr>
            </w:pPr>
          </w:p>
        </w:tc>
        <w:tc>
          <w:tcPr>
            <w:tcW w:w="846" w:type="dxa"/>
            <w:vAlign w:val="center"/>
          </w:tcPr>
          <w:p w14:paraId="620E5675">
            <w:pPr>
              <w:jc w:val="center"/>
              <w:rPr>
                <w:rFonts w:ascii="宋体" w:hAnsi="宋体" w:cs="宋体"/>
                <w:sz w:val="24"/>
              </w:rPr>
            </w:pPr>
            <w:r>
              <w:rPr>
                <w:rFonts w:hint="eastAsia" w:cs="Times New Roman"/>
                <w:b w:val="0"/>
                <w:bCs/>
                <w:lang w:val="en-US" w:eastAsia="zh-CN"/>
              </w:rPr>
              <w:t>21.0</w:t>
            </w:r>
          </w:p>
        </w:tc>
        <w:tc>
          <w:tcPr>
            <w:tcW w:w="790" w:type="dxa"/>
          </w:tcPr>
          <w:p w14:paraId="53BCB765">
            <w:pPr>
              <w:widowControl/>
              <w:jc w:val="center"/>
              <w:rPr>
                <w:rFonts w:ascii="宋体" w:hAnsi="宋体" w:cs="宋体"/>
                <w:kern w:val="0"/>
                <w:szCs w:val="21"/>
              </w:rPr>
            </w:pPr>
          </w:p>
        </w:tc>
        <w:tc>
          <w:tcPr>
            <w:tcW w:w="529" w:type="dxa"/>
          </w:tcPr>
          <w:p w14:paraId="456D8E27">
            <w:pPr>
              <w:widowControl/>
              <w:jc w:val="center"/>
              <w:rPr>
                <w:rFonts w:ascii="宋体" w:hAnsi="宋体" w:cs="宋体"/>
                <w:kern w:val="0"/>
                <w:szCs w:val="21"/>
              </w:rPr>
            </w:pPr>
          </w:p>
        </w:tc>
        <w:tc>
          <w:tcPr>
            <w:tcW w:w="529" w:type="dxa"/>
          </w:tcPr>
          <w:p w14:paraId="0CA067AC">
            <w:pPr>
              <w:widowControl/>
              <w:jc w:val="center"/>
              <w:rPr>
                <w:rFonts w:ascii="宋体" w:hAnsi="宋体" w:cs="宋体"/>
                <w:kern w:val="0"/>
                <w:szCs w:val="21"/>
              </w:rPr>
            </w:pPr>
          </w:p>
        </w:tc>
        <w:tc>
          <w:tcPr>
            <w:tcW w:w="1301" w:type="dxa"/>
            <w:vMerge w:val="continue"/>
          </w:tcPr>
          <w:p w14:paraId="27865CE9">
            <w:pPr>
              <w:widowControl/>
              <w:jc w:val="center"/>
              <w:rPr>
                <w:rFonts w:ascii="宋体" w:hAnsi="宋体" w:cs="宋体"/>
                <w:kern w:val="0"/>
                <w:szCs w:val="21"/>
              </w:rPr>
            </w:pPr>
          </w:p>
        </w:tc>
      </w:tr>
      <w:tr w14:paraId="4012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5FCA8F63">
            <w:pPr>
              <w:jc w:val="center"/>
              <w:rPr>
                <w:rFonts w:ascii="宋体" w:hAnsi="宋体" w:cs="宋体"/>
                <w:sz w:val="18"/>
                <w:szCs w:val="18"/>
              </w:rPr>
            </w:pPr>
            <w:r>
              <w:rPr>
                <w:rFonts w:hint="eastAsia" w:ascii="宋体" w:hAnsi="宋体"/>
                <w:sz w:val="18"/>
                <w:szCs w:val="18"/>
              </w:rPr>
              <w:t>7</w:t>
            </w:r>
          </w:p>
        </w:tc>
        <w:tc>
          <w:tcPr>
            <w:tcW w:w="2093" w:type="dxa"/>
            <w:shd w:val="clear" w:color="auto" w:fill="auto"/>
            <w:vAlign w:val="center"/>
          </w:tcPr>
          <w:p w14:paraId="5BEDA836">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心肌肌钙蛋白I测定试剂盒(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r>
              <w:rPr>
                <w:rFonts w:hint="eastAsia" w:ascii="宋体" w:hAnsi="宋体" w:eastAsia="宋体" w:cs="宋体"/>
                <w:b w:val="0"/>
                <w:bCs/>
                <w:kern w:val="0"/>
                <w:sz w:val="18"/>
                <w:szCs w:val="18"/>
                <w:lang w:val="en-US" w:eastAsia="zh-CN"/>
              </w:rPr>
              <w:t>)</w:t>
            </w:r>
          </w:p>
        </w:tc>
        <w:tc>
          <w:tcPr>
            <w:tcW w:w="567" w:type="dxa"/>
            <w:vAlign w:val="center"/>
          </w:tcPr>
          <w:p w14:paraId="614D2BC1">
            <w:pPr>
              <w:jc w:val="center"/>
              <w:rPr>
                <w:bCs/>
                <w:sz w:val="18"/>
                <w:szCs w:val="18"/>
              </w:rPr>
            </w:pPr>
          </w:p>
        </w:tc>
        <w:tc>
          <w:tcPr>
            <w:tcW w:w="685" w:type="dxa"/>
            <w:shd w:val="clear" w:color="auto" w:fill="auto"/>
            <w:vAlign w:val="center"/>
          </w:tcPr>
          <w:p w14:paraId="2B68C65B">
            <w:pPr>
              <w:jc w:val="center"/>
              <w:rPr>
                <w:rFonts w:ascii="宋体" w:hAnsi="宋体" w:cs="宋体"/>
                <w:bCs/>
                <w:sz w:val="18"/>
                <w:szCs w:val="18"/>
              </w:rPr>
            </w:pPr>
          </w:p>
        </w:tc>
        <w:tc>
          <w:tcPr>
            <w:tcW w:w="1016" w:type="dxa"/>
            <w:shd w:val="clear" w:color="auto" w:fill="auto"/>
            <w:vAlign w:val="center"/>
          </w:tcPr>
          <w:p w14:paraId="5AE2F5EF">
            <w:pPr>
              <w:jc w:val="center"/>
              <w:rPr>
                <w:rFonts w:ascii="宋体" w:hAnsi="宋体" w:cs="宋体"/>
                <w:sz w:val="18"/>
                <w:szCs w:val="18"/>
              </w:rPr>
            </w:pPr>
            <w:r>
              <w:rPr>
                <w:rFonts w:hint="eastAsia" w:ascii="宋体" w:hAnsi="宋体"/>
                <w:sz w:val="18"/>
                <w:szCs w:val="18"/>
              </w:rPr>
              <w:t>人份</w:t>
            </w:r>
          </w:p>
        </w:tc>
        <w:tc>
          <w:tcPr>
            <w:tcW w:w="651" w:type="dxa"/>
            <w:vAlign w:val="center"/>
          </w:tcPr>
          <w:p w14:paraId="2B38199E">
            <w:pPr>
              <w:jc w:val="center"/>
              <w:rPr>
                <w:bCs/>
                <w:sz w:val="18"/>
                <w:szCs w:val="18"/>
              </w:rPr>
            </w:pPr>
          </w:p>
        </w:tc>
        <w:tc>
          <w:tcPr>
            <w:tcW w:w="620" w:type="dxa"/>
          </w:tcPr>
          <w:p w14:paraId="06CCBCC8">
            <w:pPr>
              <w:widowControl/>
              <w:jc w:val="center"/>
              <w:rPr>
                <w:rFonts w:ascii="宋体" w:hAnsi="宋体" w:cs="宋体"/>
                <w:kern w:val="0"/>
                <w:sz w:val="18"/>
                <w:szCs w:val="18"/>
              </w:rPr>
            </w:pPr>
          </w:p>
        </w:tc>
        <w:tc>
          <w:tcPr>
            <w:tcW w:w="846" w:type="dxa"/>
            <w:vAlign w:val="center"/>
          </w:tcPr>
          <w:p w14:paraId="3B1C6D34">
            <w:pPr>
              <w:jc w:val="center"/>
              <w:rPr>
                <w:rFonts w:ascii="宋体" w:hAnsi="宋体" w:cs="宋体"/>
                <w:sz w:val="24"/>
              </w:rPr>
            </w:pPr>
            <w:r>
              <w:rPr>
                <w:rFonts w:hint="eastAsia" w:ascii="Calibri" w:hAnsi="Calibri" w:eastAsia="宋体" w:cs="Times New Roman"/>
                <w:b w:val="0"/>
                <w:bCs/>
              </w:rPr>
              <w:t>44.1</w:t>
            </w:r>
          </w:p>
        </w:tc>
        <w:tc>
          <w:tcPr>
            <w:tcW w:w="790" w:type="dxa"/>
          </w:tcPr>
          <w:p w14:paraId="7D64709A">
            <w:pPr>
              <w:widowControl/>
              <w:jc w:val="center"/>
              <w:rPr>
                <w:rFonts w:ascii="宋体" w:hAnsi="宋体" w:cs="宋体"/>
                <w:kern w:val="0"/>
                <w:szCs w:val="21"/>
              </w:rPr>
            </w:pPr>
          </w:p>
        </w:tc>
        <w:tc>
          <w:tcPr>
            <w:tcW w:w="529" w:type="dxa"/>
          </w:tcPr>
          <w:p w14:paraId="6D885830">
            <w:pPr>
              <w:widowControl/>
              <w:jc w:val="center"/>
              <w:rPr>
                <w:rFonts w:ascii="宋体" w:hAnsi="宋体" w:cs="宋体"/>
                <w:kern w:val="0"/>
                <w:szCs w:val="21"/>
              </w:rPr>
            </w:pPr>
          </w:p>
        </w:tc>
        <w:tc>
          <w:tcPr>
            <w:tcW w:w="529" w:type="dxa"/>
          </w:tcPr>
          <w:p w14:paraId="599EC930">
            <w:pPr>
              <w:widowControl/>
              <w:jc w:val="center"/>
              <w:rPr>
                <w:rFonts w:ascii="宋体" w:hAnsi="宋体" w:cs="宋体"/>
                <w:kern w:val="0"/>
                <w:szCs w:val="21"/>
              </w:rPr>
            </w:pPr>
          </w:p>
        </w:tc>
        <w:tc>
          <w:tcPr>
            <w:tcW w:w="1301" w:type="dxa"/>
            <w:vMerge w:val="continue"/>
          </w:tcPr>
          <w:p w14:paraId="3575EAA1">
            <w:pPr>
              <w:widowControl/>
              <w:jc w:val="center"/>
              <w:rPr>
                <w:rFonts w:ascii="宋体" w:hAnsi="宋体" w:cs="宋体"/>
                <w:kern w:val="0"/>
                <w:szCs w:val="21"/>
              </w:rPr>
            </w:pPr>
          </w:p>
        </w:tc>
      </w:tr>
      <w:tr w14:paraId="52C4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6870B61B">
            <w:pPr>
              <w:jc w:val="center"/>
              <w:rPr>
                <w:rFonts w:ascii="宋体" w:hAnsi="宋体" w:cs="宋体"/>
                <w:sz w:val="18"/>
                <w:szCs w:val="18"/>
              </w:rPr>
            </w:pPr>
            <w:r>
              <w:rPr>
                <w:rFonts w:hint="eastAsia" w:ascii="宋体" w:hAnsi="宋体"/>
                <w:sz w:val="18"/>
                <w:szCs w:val="18"/>
              </w:rPr>
              <w:t>8</w:t>
            </w:r>
          </w:p>
        </w:tc>
        <w:tc>
          <w:tcPr>
            <w:tcW w:w="2093" w:type="dxa"/>
            <w:shd w:val="clear" w:color="auto" w:fill="auto"/>
            <w:vAlign w:val="center"/>
          </w:tcPr>
          <w:p w14:paraId="1B198FC9">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降钙素原测定试剂盒(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6A3D35CA">
            <w:pPr>
              <w:jc w:val="center"/>
              <w:rPr>
                <w:bCs/>
                <w:sz w:val="18"/>
                <w:szCs w:val="18"/>
              </w:rPr>
            </w:pPr>
          </w:p>
        </w:tc>
        <w:tc>
          <w:tcPr>
            <w:tcW w:w="685" w:type="dxa"/>
            <w:shd w:val="clear" w:color="auto" w:fill="auto"/>
            <w:vAlign w:val="center"/>
          </w:tcPr>
          <w:p w14:paraId="2C70691F">
            <w:pPr>
              <w:jc w:val="center"/>
              <w:rPr>
                <w:rFonts w:ascii="宋体" w:hAnsi="宋体" w:cs="宋体"/>
                <w:bCs/>
                <w:sz w:val="18"/>
                <w:szCs w:val="18"/>
              </w:rPr>
            </w:pPr>
          </w:p>
        </w:tc>
        <w:tc>
          <w:tcPr>
            <w:tcW w:w="1016" w:type="dxa"/>
            <w:shd w:val="clear" w:color="auto" w:fill="auto"/>
            <w:vAlign w:val="center"/>
          </w:tcPr>
          <w:p w14:paraId="206D10B9">
            <w:pPr>
              <w:jc w:val="center"/>
              <w:rPr>
                <w:rFonts w:ascii="宋体" w:hAnsi="宋体" w:cs="宋体"/>
                <w:sz w:val="18"/>
                <w:szCs w:val="18"/>
              </w:rPr>
            </w:pPr>
            <w:r>
              <w:rPr>
                <w:rFonts w:hint="eastAsia" w:ascii="宋体" w:hAnsi="宋体"/>
                <w:sz w:val="18"/>
                <w:szCs w:val="18"/>
              </w:rPr>
              <w:t>人份</w:t>
            </w:r>
          </w:p>
        </w:tc>
        <w:tc>
          <w:tcPr>
            <w:tcW w:w="651" w:type="dxa"/>
            <w:vAlign w:val="center"/>
          </w:tcPr>
          <w:p w14:paraId="29FA62DB">
            <w:pPr>
              <w:jc w:val="center"/>
              <w:rPr>
                <w:bCs/>
                <w:sz w:val="18"/>
                <w:szCs w:val="18"/>
              </w:rPr>
            </w:pPr>
          </w:p>
        </w:tc>
        <w:tc>
          <w:tcPr>
            <w:tcW w:w="620" w:type="dxa"/>
          </w:tcPr>
          <w:p w14:paraId="5639E516">
            <w:pPr>
              <w:widowControl/>
              <w:jc w:val="center"/>
              <w:rPr>
                <w:rFonts w:ascii="宋体" w:hAnsi="宋体" w:cs="宋体"/>
                <w:kern w:val="0"/>
                <w:sz w:val="18"/>
                <w:szCs w:val="18"/>
              </w:rPr>
            </w:pPr>
          </w:p>
        </w:tc>
        <w:tc>
          <w:tcPr>
            <w:tcW w:w="846" w:type="dxa"/>
            <w:vAlign w:val="center"/>
          </w:tcPr>
          <w:p w14:paraId="74CC43E2">
            <w:pPr>
              <w:jc w:val="center"/>
              <w:rPr>
                <w:rFonts w:ascii="宋体" w:hAnsi="宋体" w:cs="宋体"/>
                <w:sz w:val="24"/>
              </w:rPr>
            </w:pPr>
            <w:r>
              <w:rPr>
                <w:rFonts w:hint="eastAsia" w:ascii="Calibri" w:hAnsi="Calibri" w:eastAsia="宋体" w:cs="Times New Roman"/>
                <w:b w:val="0"/>
                <w:bCs/>
              </w:rPr>
              <w:t>39.2</w:t>
            </w:r>
          </w:p>
        </w:tc>
        <w:tc>
          <w:tcPr>
            <w:tcW w:w="790" w:type="dxa"/>
          </w:tcPr>
          <w:p w14:paraId="21C84EB8">
            <w:pPr>
              <w:widowControl/>
              <w:jc w:val="center"/>
              <w:rPr>
                <w:rFonts w:ascii="宋体" w:hAnsi="宋体" w:cs="宋体"/>
                <w:kern w:val="0"/>
                <w:szCs w:val="21"/>
              </w:rPr>
            </w:pPr>
          </w:p>
        </w:tc>
        <w:tc>
          <w:tcPr>
            <w:tcW w:w="529" w:type="dxa"/>
          </w:tcPr>
          <w:p w14:paraId="0F1C67A9">
            <w:pPr>
              <w:widowControl/>
              <w:jc w:val="center"/>
              <w:rPr>
                <w:rFonts w:ascii="宋体" w:hAnsi="宋体" w:cs="宋体"/>
                <w:kern w:val="0"/>
                <w:szCs w:val="21"/>
              </w:rPr>
            </w:pPr>
          </w:p>
        </w:tc>
        <w:tc>
          <w:tcPr>
            <w:tcW w:w="529" w:type="dxa"/>
          </w:tcPr>
          <w:p w14:paraId="637C3C03">
            <w:pPr>
              <w:widowControl/>
              <w:jc w:val="center"/>
              <w:rPr>
                <w:rFonts w:ascii="宋体" w:hAnsi="宋体" w:cs="宋体"/>
                <w:kern w:val="0"/>
                <w:szCs w:val="21"/>
              </w:rPr>
            </w:pPr>
          </w:p>
        </w:tc>
        <w:tc>
          <w:tcPr>
            <w:tcW w:w="1301" w:type="dxa"/>
            <w:vMerge w:val="continue"/>
          </w:tcPr>
          <w:p w14:paraId="483990D3">
            <w:pPr>
              <w:widowControl/>
              <w:jc w:val="center"/>
              <w:rPr>
                <w:rFonts w:ascii="宋体" w:hAnsi="宋体" w:cs="宋体"/>
                <w:kern w:val="0"/>
                <w:szCs w:val="21"/>
              </w:rPr>
            </w:pPr>
          </w:p>
        </w:tc>
      </w:tr>
      <w:tr w14:paraId="3EF8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32" w:type="dxa"/>
            <w:shd w:val="clear" w:color="auto" w:fill="auto"/>
            <w:vAlign w:val="center"/>
          </w:tcPr>
          <w:p w14:paraId="428BAA7C">
            <w:pPr>
              <w:jc w:val="center"/>
              <w:rPr>
                <w:rFonts w:ascii="宋体" w:hAnsi="宋体" w:cs="宋体"/>
                <w:sz w:val="18"/>
                <w:szCs w:val="18"/>
              </w:rPr>
            </w:pPr>
            <w:r>
              <w:rPr>
                <w:rFonts w:hint="eastAsia" w:ascii="宋体" w:hAnsi="宋体"/>
                <w:sz w:val="18"/>
                <w:szCs w:val="18"/>
              </w:rPr>
              <w:t>9</w:t>
            </w:r>
          </w:p>
        </w:tc>
        <w:tc>
          <w:tcPr>
            <w:tcW w:w="2093" w:type="dxa"/>
            <w:shd w:val="clear" w:color="auto" w:fill="auto"/>
            <w:vAlign w:val="center"/>
          </w:tcPr>
          <w:p w14:paraId="1AB6A0D8">
            <w:pPr>
              <w:widowControl/>
              <w:jc w:val="center"/>
              <w:textAlignment w:val="center"/>
              <w:rPr>
                <w:rFonts w:ascii="宋体" w:hAnsi="宋体" w:cs="宋体"/>
                <w:kern w:val="0"/>
                <w:sz w:val="18"/>
                <w:szCs w:val="18"/>
              </w:rPr>
            </w:pPr>
            <w:r>
              <w:rPr>
                <w:rFonts w:hint="eastAsia" w:ascii="宋体" w:hAnsi="宋体" w:eastAsia="宋体" w:cs="宋体"/>
                <w:b w:val="0"/>
                <w:bCs/>
                <w:kern w:val="0"/>
                <w:sz w:val="18"/>
                <w:szCs w:val="18"/>
              </w:rPr>
              <w:t>D-二聚体测定试剂盒(</w:t>
            </w:r>
            <w:r>
              <w:rPr>
                <w:rFonts w:hint="eastAsia" w:ascii="宋体" w:hAnsi="宋体" w:cs="宋体"/>
                <w:b w:val="0"/>
                <w:bCs/>
                <w:kern w:val="0"/>
                <w:sz w:val="18"/>
                <w:szCs w:val="18"/>
                <w:lang w:eastAsia="zh-CN"/>
              </w:rPr>
              <w:t>免疫荧光</w:t>
            </w:r>
            <w:r>
              <w:rPr>
                <w:rFonts w:hint="eastAsia" w:ascii="宋体" w:hAnsi="宋体" w:eastAsia="宋体" w:cs="宋体"/>
                <w:b w:val="0"/>
                <w:bCs/>
                <w:kern w:val="0"/>
                <w:sz w:val="18"/>
                <w:szCs w:val="18"/>
              </w:rPr>
              <w:t>法)</w:t>
            </w:r>
          </w:p>
        </w:tc>
        <w:tc>
          <w:tcPr>
            <w:tcW w:w="567" w:type="dxa"/>
            <w:vAlign w:val="center"/>
          </w:tcPr>
          <w:p w14:paraId="0E8096A4">
            <w:pPr>
              <w:jc w:val="center"/>
              <w:rPr>
                <w:bCs/>
                <w:sz w:val="18"/>
                <w:szCs w:val="18"/>
              </w:rPr>
            </w:pPr>
          </w:p>
        </w:tc>
        <w:tc>
          <w:tcPr>
            <w:tcW w:w="685" w:type="dxa"/>
            <w:shd w:val="clear" w:color="auto" w:fill="auto"/>
            <w:vAlign w:val="center"/>
          </w:tcPr>
          <w:p w14:paraId="647EFE6E">
            <w:pPr>
              <w:jc w:val="center"/>
              <w:rPr>
                <w:rFonts w:ascii="宋体" w:hAnsi="宋体" w:cs="宋体"/>
                <w:bCs/>
                <w:sz w:val="18"/>
                <w:szCs w:val="18"/>
              </w:rPr>
            </w:pPr>
          </w:p>
        </w:tc>
        <w:tc>
          <w:tcPr>
            <w:tcW w:w="1016" w:type="dxa"/>
            <w:shd w:val="clear" w:color="auto" w:fill="auto"/>
            <w:vAlign w:val="center"/>
          </w:tcPr>
          <w:p w14:paraId="1BD03AEA">
            <w:pPr>
              <w:jc w:val="center"/>
              <w:rPr>
                <w:rFonts w:ascii="宋体" w:hAnsi="宋体" w:cs="宋体"/>
                <w:sz w:val="18"/>
                <w:szCs w:val="18"/>
              </w:rPr>
            </w:pPr>
            <w:r>
              <w:rPr>
                <w:rFonts w:hint="eastAsia" w:ascii="宋体" w:hAnsi="宋体"/>
                <w:sz w:val="18"/>
                <w:szCs w:val="18"/>
              </w:rPr>
              <w:t>人份</w:t>
            </w:r>
          </w:p>
        </w:tc>
        <w:tc>
          <w:tcPr>
            <w:tcW w:w="651" w:type="dxa"/>
            <w:vAlign w:val="center"/>
          </w:tcPr>
          <w:p w14:paraId="560F1A83">
            <w:pPr>
              <w:jc w:val="center"/>
              <w:rPr>
                <w:bCs/>
                <w:sz w:val="18"/>
                <w:szCs w:val="18"/>
              </w:rPr>
            </w:pPr>
          </w:p>
        </w:tc>
        <w:tc>
          <w:tcPr>
            <w:tcW w:w="620" w:type="dxa"/>
          </w:tcPr>
          <w:p w14:paraId="7543AF69">
            <w:pPr>
              <w:widowControl/>
              <w:jc w:val="center"/>
              <w:rPr>
                <w:rFonts w:ascii="宋体" w:hAnsi="宋体" w:cs="宋体"/>
                <w:kern w:val="0"/>
                <w:sz w:val="18"/>
                <w:szCs w:val="18"/>
              </w:rPr>
            </w:pPr>
          </w:p>
        </w:tc>
        <w:tc>
          <w:tcPr>
            <w:tcW w:w="846" w:type="dxa"/>
            <w:vAlign w:val="center"/>
          </w:tcPr>
          <w:p w14:paraId="05773385">
            <w:pPr>
              <w:jc w:val="center"/>
              <w:rPr>
                <w:rFonts w:ascii="宋体" w:hAnsi="宋体" w:cs="宋体"/>
                <w:sz w:val="24"/>
              </w:rPr>
            </w:pPr>
            <w:r>
              <w:rPr>
                <w:rFonts w:hint="eastAsia" w:cs="Times New Roman"/>
                <w:b w:val="0"/>
                <w:bCs/>
                <w:lang w:val="en-US" w:eastAsia="zh-CN"/>
              </w:rPr>
              <w:t>22.31</w:t>
            </w:r>
          </w:p>
        </w:tc>
        <w:tc>
          <w:tcPr>
            <w:tcW w:w="790" w:type="dxa"/>
          </w:tcPr>
          <w:p w14:paraId="1200C81B">
            <w:pPr>
              <w:widowControl/>
              <w:jc w:val="center"/>
              <w:rPr>
                <w:rFonts w:ascii="宋体" w:hAnsi="宋体" w:cs="宋体"/>
                <w:kern w:val="0"/>
                <w:szCs w:val="21"/>
              </w:rPr>
            </w:pPr>
          </w:p>
        </w:tc>
        <w:tc>
          <w:tcPr>
            <w:tcW w:w="529" w:type="dxa"/>
          </w:tcPr>
          <w:p w14:paraId="3F2AA21F">
            <w:pPr>
              <w:widowControl/>
              <w:jc w:val="center"/>
              <w:rPr>
                <w:rFonts w:ascii="宋体" w:hAnsi="宋体" w:cs="宋体"/>
                <w:kern w:val="0"/>
                <w:szCs w:val="21"/>
              </w:rPr>
            </w:pPr>
          </w:p>
        </w:tc>
        <w:tc>
          <w:tcPr>
            <w:tcW w:w="529" w:type="dxa"/>
          </w:tcPr>
          <w:p w14:paraId="6D2E91E9">
            <w:pPr>
              <w:widowControl/>
              <w:jc w:val="center"/>
              <w:rPr>
                <w:rFonts w:ascii="宋体" w:hAnsi="宋体" w:cs="宋体"/>
                <w:kern w:val="0"/>
                <w:szCs w:val="21"/>
              </w:rPr>
            </w:pPr>
          </w:p>
        </w:tc>
        <w:tc>
          <w:tcPr>
            <w:tcW w:w="1301" w:type="dxa"/>
            <w:vMerge w:val="continue"/>
          </w:tcPr>
          <w:p w14:paraId="1B5DD12C">
            <w:pPr>
              <w:widowControl/>
              <w:jc w:val="center"/>
              <w:rPr>
                <w:rFonts w:ascii="宋体" w:hAnsi="宋体" w:cs="宋体"/>
                <w:kern w:val="0"/>
                <w:szCs w:val="21"/>
              </w:rPr>
            </w:pPr>
          </w:p>
        </w:tc>
      </w:tr>
    </w:tbl>
    <w:p w14:paraId="00AB5B00">
      <w:pPr>
        <w:pStyle w:val="8"/>
        <w:spacing w:before="0" w:beforeAutospacing="0" w:after="0" w:afterAutospacing="0" w:line="560" w:lineRule="exact"/>
        <w:rPr>
          <w:rFonts w:asciiTheme="minorEastAsia" w:hAnsiTheme="minorEastAsia"/>
          <w:b/>
          <w:bCs/>
        </w:rPr>
      </w:pPr>
    </w:p>
    <w:tbl>
      <w:tblPr>
        <w:tblStyle w:val="10"/>
        <w:tblpPr w:leftFromText="180" w:rightFromText="180" w:vertAnchor="text" w:horzAnchor="page" w:tblpX="981" w:tblpY="261"/>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25"/>
        <w:gridCol w:w="587"/>
        <w:gridCol w:w="338"/>
        <w:gridCol w:w="375"/>
        <w:gridCol w:w="962"/>
        <w:gridCol w:w="975"/>
        <w:gridCol w:w="913"/>
        <w:gridCol w:w="925"/>
        <w:gridCol w:w="1125"/>
        <w:gridCol w:w="1100"/>
        <w:gridCol w:w="1500"/>
      </w:tblGrid>
      <w:tr w14:paraId="0A13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525" w:type="dxa"/>
            <w:vAlign w:val="center"/>
          </w:tcPr>
          <w:p w14:paraId="01B1F0C7">
            <w:pPr>
              <w:pStyle w:val="8"/>
              <w:keepNext/>
              <w:adjustRightInd w:val="0"/>
              <w:snapToGrid w:val="0"/>
              <w:spacing w:before="0" w:beforeAutospacing="0" w:after="0" w:afterAutospacing="0"/>
              <w:jc w:val="center"/>
              <w:rPr>
                <w:sz w:val="18"/>
                <w:szCs w:val="18"/>
              </w:rPr>
            </w:pPr>
            <w:r>
              <w:rPr>
                <w:rFonts w:hint="eastAsia"/>
                <w:sz w:val="18"/>
                <w:szCs w:val="18"/>
              </w:rPr>
              <w:t>序号</w:t>
            </w:r>
          </w:p>
        </w:tc>
        <w:tc>
          <w:tcPr>
            <w:tcW w:w="825" w:type="dxa"/>
            <w:vAlign w:val="center"/>
          </w:tcPr>
          <w:p w14:paraId="451CA0A1">
            <w:pPr>
              <w:pStyle w:val="8"/>
              <w:keepNext/>
              <w:adjustRightInd w:val="0"/>
              <w:snapToGrid w:val="0"/>
              <w:spacing w:before="0" w:beforeAutospacing="0" w:after="0" w:afterAutospacing="0"/>
              <w:jc w:val="center"/>
              <w:rPr>
                <w:sz w:val="18"/>
                <w:szCs w:val="18"/>
              </w:rPr>
            </w:pPr>
            <w:r>
              <w:rPr>
                <w:rFonts w:hint="eastAsia"/>
                <w:sz w:val="18"/>
                <w:szCs w:val="18"/>
              </w:rPr>
              <w:t>设备名称</w:t>
            </w:r>
          </w:p>
        </w:tc>
        <w:tc>
          <w:tcPr>
            <w:tcW w:w="587" w:type="dxa"/>
            <w:vAlign w:val="center"/>
          </w:tcPr>
          <w:p w14:paraId="5F7765B5">
            <w:pPr>
              <w:pStyle w:val="8"/>
              <w:keepNext/>
              <w:adjustRightInd w:val="0"/>
              <w:snapToGrid w:val="0"/>
              <w:spacing w:before="0" w:beforeAutospacing="0" w:after="0" w:afterAutospacing="0"/>
              <w:jc w:val="center"/>
              <w:rPr>
                <w:sz w:val="18"/>
                <w:szCs w:val="18"/>
              </w:rPr>
            </w:pPr>
            <w:r>
              <w:rPr>
                <w:rFonts w:hint="eastAsia"/>
                <w:sz w:val="18"/>
                <w:szCs w:val="18"/>
              </w:rPr>
              <w:t>品牌型号</w:t>
            </w:r>
          </w:p>
        </w:tc>
        <w:tc>
          <w:tcPr>
            <w:tcW w:w="338" w:type="dxa"/>
            <w:vAlign w:val="center"/>
          </w:tcPr>
          <w:p w14:paraId="715305FE">
            <w:pPr>
              <w:pStyle w:val="8"/>
              <w:keepNext/>
              <w:adjustRightInd w:val="0"/>
              <w:snapToGrid w:val="0"/>
              <w:spacing w:before="0" w:beforeAutospacing="0" w:after="0" w:afterAutospacing="0"/>
              <w:jc w:val="center"/>
              <w:rPr>
                <w:sz w:val="18"/>
                <w:szCs w:val="18"/>
              </w:rPr>
            </w:pPr>
            <w:r>
              <w:rPr>
                <w:rFonts w:hint="eastAsia"/>
                <w:sz w:val="18"/>
                <w:szCs w:val="18"/>
              </w:rPr>
              <w:t>数量</w:t>
            </w:r>
          </w:p>
        </w:tc>
        <w:tc>
          <w:tcPr>
            <w:tcW w:w="375" w:type="dxa"/>
            <w:vAlign w:val="center"/>
          </w:tcPr>
          <w:p w14:paraId="705A288A">
            <w:pPr>
              <w:pStyle w:val="8"/>
              <w:keepNext/>
              <w:adjustRightInd w:val="0"/>
              <w:snapToGrid w:val="0"/>
              <w:spacing w:before="0" w:beforeAutospacing="0" w:after="0" w:afterAutospacing="0"/>
              <w:jc w:val="center"/>
              <w:rPr>
                <w:sz w:val="18"/>
                <w:szCs w:val="18"/>
              </w:rPr>
            </w:pPr>
            <w:r>
              <w:rPr>
                <w:rFonts w:hint="eastAsia"/>
                <w:sz w:val="18"/>
                <w:szCs w:val="18"/>
              </w:rPr>
              <w:t>单位</w:t>
            </w:r>
          </w:p>
        </w:tc>
        <w:tc>
          <w:tcPr>
            <w:tcW w:w="962" w:type="dxa"/>
            <w:vAlign w:val="center"/>
          </w:tcPr>
          <w:p w14:paraId="1C655C35">
            <w:pPr>
              <w:pStyle w:val="8"/>
              <w:keepNext/>
              <w:adjustRightInd w:val="0"/>
              <w:snapToGrid w:val="0"/>
              <w:spacing w:before="0" w:beforeAutospacing="0" w:after="0" w:afterAutospacing="0"/>
              <w:jc w:val="center"/>
              <w:rPr>
                <w:sz w:val="18"/>
                <w:szCs w:val="18"/>
              </w:rPr>
            </w:pPr>
            <w:r>
              <w:rPr>
                <w:rFonts w:hint="eastAsia"/>
                <w:bCs/>
                <w:szCs w:val="21"/>
              </w:rPr>
              <w:t>预算含税单价</w:t>
            </w:r>
            <w:r>
              <w:rPr>
                <w:rFonts w:hint="eastAsia"/>
                <w:szCs w:val="21"/>
              </w:rPr>
              <w:t>（元）</w:t>
            </w:r>
          </w:p>
        </w:tc>
        <w:tc>
          <w:tcPr>
            <w:tcW w:w="975" w:type="dxa"/>
            <w:vAlign w:val="center"/>
          </w:tcPr>
          <w:p w14:paraId="239A6D3C">
            <w:pPr>
              <w:pStyle w:val="8"/>
              <w:keepNext/>
              <w:adjustRightInd w:val="0"/>
              <w:snapToGrid w:val="0"/>
              <w:spacing w:before="0" w:beforeAutospacing="0" w:after="0" w:afterAutospacing="0"/>
              <w:jc w:val="center"/>
              <w:rPr>
                <w:sz w:val="18"/>
                <w:szCs w:val="18"/>
              </w:rPr>
            </w:pPr>
            <w:r>
              <w:rPr>
                <w:rFonts w:hint="eastAsia"/>
                <w:sz w:val="18"/>
                <w:szCs w:val="18"/>
              </w:rPr>
              <w:t>投标报价</w:t>
            </w:r>
          </w:p>
          <w:p w14:paraId="4A3CE91E">
            <w:pPr>
              <w:pStyle w:val="8"/>
              <w:keepNext/>
              <w:adjustRightInd w:val="0"/>
              <w:snapToGrid w:val="0"/>
              <w:spacing w:before="0" w:beforeAutospacing="0" w:after="0" w:afterAutospacing="0"/>
              <w:jc w:val="center"/>
              <w:rPr>
                <w:sz w:val="18"/>
                <w:szCs w:val="18"/>
              </w:rPr>
            </w:pPr>
            <w:r>
              <w:rPr>
                <w:rFonts w:hint="eastAsia"/>
                <w:sz w:val="18"/>
                <w:szCs w:val="18"/>
              </w:rPr>
              <w:t>（单价，元）</w:t>
            </w:r>
          </w:p>
        </w:tc>
        <w:tc>
          <w:tcPr>
            <w:tcW w:w="913" w:type="dxa"/>
            <w:vAlign w:val="center"/>
          </w:tcPr>
          <w:p w14:paraId="49CDCF91">
            <w:pPr>
              <w:pStyle w:val="8"/>
              <w:keepNext/>
              <w:adjustRightInd w:val="0"/>
              <w:snapToGrid w:val="0"/>
              <w:spacing w:before="0" w:beforeAutospacing="0" w:after="0" w:afterAutospacing="0"/>
              <w:jc w:val="center"/>
              <w:rPr>
                <w:sz w:val="18"/>
                <w:szCs w:val="18"/>
              </w:rPr>
            </w:pPr>
            <w:r>
              <w:rPr>
                <w:rFonts w:hint="eastAsia"/>
                <w:sz w:val="18"/>
                <w:szCs w:val="18"/>
              </w:rPr>
              <w:t>投标报价</w:t>
            </w:r>
          </w:p>
          <w:p w14:paraId="136B0690">
            <w:pPr>
              <w:pStyle w:val="8"/>
              <w:keepNext/>
              <w:adjustRightInd w:val="0"/>
              <w:snapToGrid w:val="0"/>
              <w:spacing w:before="0" w:beforeAutospacing="0" w:after="0" w:afterAutospacing="0"/>
              <w:jc w:val="center"/>
              <w:rPr>
                <w:sz w:val="18"/>
                <w:szCs w:val="18"/>
              </w:rPr>
            </w:pPr>
            <w:r>
              <w:rPr>
                <w:rFonts w:hint="eastAsia"/>
                <w:sz w:val="18"/>
                <w:szCs w:val="18"/>
              </w:rPr>
              <w:t>（总价，元）</w:t>
            </w:r>
          </w:p>
        </w:tc>
        <w:tc>
          <w:tcPr>
            <w:tcW w:w="925" w:type="dxa"/>
            <w:vAlign w:val="center"/>
          </w:tcPr>
          <w:p w14:paraId="7F56EE7F">
            <w:pPr>
              <w:pStyle w:val="8"/>
              <w:keepNext/>
              <w:adjustRightInd w:val="0"/>
              <w:snapToGrid w:val="0"/>
              <w:spacing w:before="0" w:beforeAutospacing="0" w:after="0" w:afterAutospacing="0"/>
              <w:jc w:val="center"/>
              <w:rPr>
                <w:sz w:val="18"/>
                <w:szCs w:val="18"/>
              </w:rPr>
            </w:pPr>
            <w:r>
              <w:rPr>
                <w:rFonts w:hint="eastAsia"/>
                <w:sz w:val="18"/>
                <w:szCs w:val="18"/>
              </w:rPr>
              <w:t>交货时间</w:t>
            </w:r>
          </w:p>
        </w:tc>
        <w:tc>
          <w:tcPr>
            <w:tcW w:w="1125" w:type="dxa"/>
            <w:vAlign w:val="center"/>
          </w:tcPr>
          <w:p w14:paraId="137E086B">
            <w:pPr>
              <w:pStyle w:val="8"/>
              <w:keepNext/>
              <w:adjustRightInd w:val="0"/>
              <w:snapToGrid w:val="0"/>
              <w:spacing w:before="0" w:beforeAutospacing="0" w:after="0" w:afterAutospacing="0"/>
              <w:jc w:val="center"/>
              <w:rPr>
                <w:sz w:val="18"/>
                <w:szCs w:val="18"/>
              </w:rPr>
            </w:pPr>
            <w:r>
              <w:rPr>
                <w:rFonts w:hint="eastAsia"/>
                <w:sz w:val="18"/>
                <w:szCs w:val="18"/>
              </w:rPr>
              <w:t>生产厂商</w:t>
            </w:r>
          </w:p>
        </w:tc>
        <w:tc>
          <w:tcPr>
            <w:tcW w:w="1100" w:type="dxa"/>
            <w:vAlign w:val="center"/>
          </w:tcPr>
          <w:p w14:paraId="347C61CE">
            <w:pPr>
              <w:pStyle w:val="8"/>
              <w:keepNext/>
              <w:adjustRightInd w:val="0"/>
              <w:snapToGrid w:val="0"/>
              <w:spacing w:before="0" w:beforeAutospacing="0" w:after="0" w:afterAutospacing="0"/>
              <w:jc w:val="center"/>
              <w:rPr>
                <w:sz w:val="18"/>
                <w:szCs w:val="18"/>
              </w:rPr>
            </w:pPr>
            <w:r>
              <w:rPr>
                <w:rFonts w:hint="eastAsia"/>
                <w:sz w:val="18"/>
                <w:szCs w:val="18"/>
              </w:rPr>
              <w:t>产地</w:t>
            </w:r>
          </w:p>
        </w:tc>
        <w:tc>
          <w:tcPr>
            <w:tcW w:w="1500" w:type="dxa"/>
            <w:vAlign w:val="center"/>
          </w:tcPr>
          <w:p w14:paraId="51EB7586">
            <w:pPr>
              <w:pStyle w:val="8"/>
              <w:keepNext/>
              <w:adjustRightInd w:val="0"/>
              <w:snapToGrid w:val="0"/>
              <w:spacing w:before="0" w:beforeAutospacing="0" w:after="0" w:afterAutospacing="0"/>
              <w:jc w:val="center"/>
              <w:rPr>
                <w:sz w:val="18"/>
                <w:szCs w:val="18"/>
              </w:rPr>
            </w:pPr>
            <w:r>
              <w:rPr>
                <w:rFonts w:hint="eastAsia"/>
                <w:sz w:val="18"/>
                <w:szCs w:val="18"/>
              </w:rPr>
              <w:t>备注</w:t>
            </w:r>
          </w:p>
        </w:tc>
      </w:tr>
      <w:tr w14:paraId="47E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25" w:type="dxa"/>
            <w:vAlign w:val="center"/>
          </w:tcPr>
          <w:p w14:paraId="024D7FBA">
            <w:pPr>
              <w:pStyle w:val="8"/>
              <w:keepNext/>
              <w:adjustRightInd w:val="0"/>
              <w:snapToGrid w:val="0"/>
              <w:spacing w:before="0" w:beforeAutospacing="0" w:after="0" w:afterAutospacing="0"/>
              <w:jc w:val="center"/>
              <w:rPr>
                <w:sz w:val="18"/>
                <w:szCs w:val="18"/>
              </w:rPr>
            </w:pPr>
            <w:r>
              <w:rPr>
                <w:rFonts w:hint="eastAsia"/>
                <w:sz w:val="18"/>
                <w:szCs w:val="18"/>
              </w:rPr>
              <w:t>1</w:t>
            </w:r>
          </w:p>
        </w:tc>
        <w:tc>
          <w:tcPr>
            <w:tcW w:w="825" w:type="dxa"/>
            <w:vAlign w:val="center"/>
          </w:tcPr>
          <w:p w14:paraId="47B467CC">
            <w:pPr>
              <w:pStyle w:val="8"/>
              <w:keepNext/>
              <w:adjustRightInd w:val="0"/>
              <w:snapToGrid w:val="0"/>
              <w:spacing w:before="0" w:beforeAutospacing="0" w:after="0" w:afterAutospacing="0"/>
              <w:jc w:val="center"/>
              <w:rPr>
                <w:sz w:val="18"/>
                <w:szCs w:val="18"/>
              </w:rPr>
            </w:pPr>
            <w:r>
              <w:rPr>
                <w:rFonts w:hint="eastAsia"/>
                <w:sz w:val="18"/>
                <w:szCs w:val="18"/>
              </w:rPr>
              <w:t>POCT分析仪（床旁检测）</w:t>
            </w:r>
          </w:p>
        </w:tc>
        <w:tc>
          <w:tcPr>
            <w:tcW w:w="587" w:type="dxa"/>
            <w:vAlign w:val="center"/>
          </w:tcPr>
          <w:p w14:paraId="6E787841">
            <w:pPr>
              <w:pStyle w:val="8"/>
              <w:keepNext/>
              <w:adjustRightInd w:val="0"/>
              <w:snapToGrid w:val="0"/>
              <w:spacing w:before="0" w:beforeAutospacing="0" w:after="0" w:afterAutospacing="0"/>
              <w:jc w:val="center"/>
              <w:rPr>
                <w:sz w:val="18"/>
                <w:szCs w:val="18"/>
              </w:rPr>
            </w:pPr>
          </w:p>
        </w:tc>
        <w:tc>
          <w:tcPr>
            <w:tcW w:w="338" w:type="dxa"/>
            <w:vAlign w:val="center"/>
          </w:tcPr>
          <w:p w14:paraId="7FD5AB83">
            <w:pPr>
              <w:pStyle w:val="8"/>
              <w:keepNext/>
              <w:adjustRightInd w:val="0"/>
              <w:snapToGrid w:val="0"/>
              <w:spacing w:before="0" w:beforeAutospacing="0" w:after="0" w:afterAutospacing="0"/>
              <w:jc w:val="center"/>
              <w:rPr>
                <w:sz w:val="18"/>
                <w:szCs w:val="18"/>
              </w:rPr>
            </w:pPr>
            <w:r>
              <w:rPr>
                <w:rFonts w:hint="eastAsia"/>
                <w:sz w:val="18"/>
                <w:szCs w:val="18"/>
              </w:rPr>
              <w:t>2</w:t>
            </w:r>
          </w:p>
        </w:tc>
        <w:tc>
          <w:tcPr>
            <w:tcW w:w="375" w:type="dxa"/>
            <w:vAlign w:val="center"/>
          </w:tcPr>
          <w:p w14:paraId="286FE8F5">
            <w:pPr>
              <w:pStyle w:val="8"/>
              <w:keepNext/>
              <w:adjustRightInd w:val="0"/>
              <w:snapToGrid w:val="0"/>
              <w:spacing w:before="0" w:beforeAutospacing="0" w:after="0" w:afterAutospacing="0"/>
              <w:jc w:val="center"/>
              <w:rPr>
                <w:sz w:val="18"/>
                <w:szCs w:val="18"/>
              </w:rPr>
            </w:pPr>
            <w:r>
              <w:rPr>
                <w:rFonts w:hint="eastAsia"/>
                <w:sz w:val="18"/>
                <w:szCs w:val="18"/>
              </w:rPr>
              <w:t>台</w:t>
            </w:r>
          </w:p>
        </w:tc>
        <w:tc>
          <w:tcPr>
            <w:tcW w:w="962" w:type="dxa"/>
            <w:vAlign w:val="center"/>
          </w:tcPr>
          <w:p w14:paraId="418C3545">
            <w:pPr>
              <w:pStyle w:val="8"/>
              <w:keepNext/>
              <w:adjustRightInd w:val="0"/>
              <w:snapToGrid w:val="0"/>
              <w:spacing w:before="0" w:beforeAutospacing="0" w:after="0" w:afterAutospacing="0"/>
              <w:jc w:val="center"/>
              <w:rPr>
                <w:sz w:val="18"/>
                <w:szCs w:val="18"/>
              </w:rPr>
            </w:pPr>
            <w:r>
              <w:rPr>
                <w:rFonts w:hint="eastAsia"/>
                <w:sz w:val="18"/>
                <w:szCs w:val="18"/>
              </w:rPr>
              <w:t>14500</w:t>
            </w:r>
          </w:p>
        </w:tc>
        <w:tc>
          <w:tcPr>
            <w:tcW w:w="975" w:type="dxa"/>
            <w:vAlign w:val="center"/>
          </w:tcPr>
          <w:p w14:paraId="107AB464">
            <w:pPr>
              <w:pStyle w:val="8"/>
              <w:keepNext/>
              <w:adjustRightInd w:val="0"/>
              <w:snapToGrid w:val="0"/>
              <w:spacing w:before="0" w:beforeAutospacing="0" w:after="0" w:afterAutospacing="0"/>
              <w:jc w:val="center"/>
              <w:rPr>
                <w:sz w:val="18"/>
                <w:szCs w:val="18"/>
              </w:rPr>
            </w:pPr>
          </w:p>
        </w:tc>
        <w:tc>
          <w:tcPr>
            <w:tcW w:w="913" w:type="dxa"/>
            <w:vAlign w:val="center"/>
          </w:tcPr>
          <w:p w14:paraId="6DC8438E">
            <w:pPr>
              <w:pStyle w:val="8"/>
              <w:keepNext/>
              <w:adjustRightInd w:val="0"/>
              <w:snapToGrid w:val="0"/>
              <w:spacing w:before="0" w:beforeAutospacing="0" w:after="0" w:afterAutospacing="0"/>
              <w:jc w:val="center"/>
              <w:rPr>
                <w:sz w:val="18"/>
                <w:szCs w:val="18"/>
              </w:rPr>
            </w:pPr>
          </w:p>
        </w:tc>
        <w:tc>
          <w:tcPr>
            <w:tcW w:w="925" w:type="dxa"/>
            <w:vAlign w:val="center"/>
          </w:tcPr>
          <w:p w14:paraId="3A18C01B">
            <w:pPr>
              <w:pStyle w:val="8"/>
              <w:keepNext/>
              <w:adjustRightInd w:val="0"/>
              <w:snapToGrid w:val="0"/>
              <w:spacing w:before="0" w:beforeAutospacing="0" w:after="0" w:afterAutospacing="0"/>
              <w:jc w:val="both"/>
              <w:rPr>
                <w:sz w:val="18"/>
                <w:szCs w:val="18"/>
              </w:rPr>
            </w:pPr>
            <w:r>
              <w:rPr>
                <w:rFonts w:hint="eastAsia"/>
                <w:sz w:val="18"/>
                <w:szCs w:val="18"/>
              </w:rPr>
              <w:t>合同签订后</w:t>
            </w:r>
            <w:r>
              <w:rPr>
                <w:rFonts w:hint="eastAsia"/>
                <w:sz w:val="18"/>
                <w:szCs w:val="18"/>
                <w:u w:val="single"/>
              </w:rPr>
              <w:t>30</w:t>
            </w:r>
            <w:r>
              <w:rPr>
                <w:rFonts w:hint="eastAsia"/>
                <w:sz w:val="18"/>
                <w:szCs w:val="18"/>
              </w:rPr>
              <w:t>日内到货</w:t>
            </w:r>
          </w:p>
        </w:tc>
        <w:tc>
          <w:tcPr>
            <w:tcW w:w="1125" w:type="dxa"/>
            <w:vAlign w:val="center"/>
          </w:tcPr>
          <w:p w14:paraId="468D8EA0">
            <w:pPr>
              <w:pStyle w:val="8"/>
              <w:keepNext/>
              <w:adjustRightInd w:val="0"/>
              <w:snapToGrid w:val="0"/>
              <w:spacing w:before="0" w:beforeAutospacing="0" w:after="0" w:afterAutospacing="0"/>
              <w:jc w:val="center"/>
              <w:rPr>
                <w:sz w:val="18"/>
                <w:szCs w:val="18"/>
              </w:rPr>
            </w:pPr>
          </w:p>
        </w:tc>
        <w:tc>
          <w:tcPr>
            <w:tcW w:w="1100" w:type="dxa"/>
            <w:vAlign w:val="center"/>
          </w:tcPr>
          <w:p w14:paraId="5716FEB7">
            <w:pPr>
              <w:pStyle w:val="8"/>
              <w:keepNext/>
              <w:adjustRightInd w:val="0"/>
              <w:snapToGrid w:val="0"/>
              <w:spacing w:before="0" w:beforeAutospacing="0" w:after="0" w:afterAutospacing="0"/>
              <w:jc w:val="center"/>
              <w:rPr>
                <w:sz w:val="18"/>
                <w:szCs w:val="18"/>
              </w:rPr>
            </w:pPr>
          </w:p>
        </w:tc>
        <w:tc>
          <w:tcPr>
            <w:tcW w:w="1500" w:type="dxa"/>
            <w:vAlign w:val="center"/>
          </w:tcPr>
          <w:p w14:paraId="5796D895">
            <w:pPr>
              <w:pStyle w:val="8"/>
              <w:keepNext/>
              <w:adjustRightInd w:val="0"/>
              <w:snapToGrid w:val="0"/>
              <w:spacing w:before="0" w:beforeAutospacing="0" w:after="0" w:afterAutospacing="0"/>
              <w:jc w:val="center"/>
              <w:rPr>
                <w:sz w:val="18"/>
                <w:szCs w:val="18"/>
              </w:rPr>
            </w:pPr>
          </w:p>
        </w:tc>
      </w:tr>
    </w:tbl>
    <w:p w14:paraId="19D8F389">
      <w:pPr>
        <w:pStyle w:val="8"/>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14:paraId="44B3029F">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14:paraId="154D34B7">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14:paraId="06F8E8D2">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14:paraId="297AD462">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14:paraId="3C8F67E1">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14:paraId="0EB33943">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14:paraId="67A2BCAD">
      <w:pPr>
        <w:snapToGrid w:val="0"/>
        <w:spacing w:line="560" w:lineRule="exact"/>
        <w:jc w:val="left"/>
        <w:rPr>
          <w:rFonts w:asciiTheme="minorEastAsia" w:hAnsiTheme="minorEastAsia"/>
          <w:sz w:val="24"/>
        </w:rPr>
      </w:pPr>
      <w:r>
        <w:rPr>
          <w:rFonts w:hint="eastAsia" w:asciiTheme="minorEastAsia" w:hAnsiTheme="minorEastAsia"/>
          <w:sz w:val="24"/>
        </w:rPr>
        <w:t>（4）投标日期。</w:t>
      </w:r>
    </w:p>
    <w:p w14:paraId="1B1FCF6F">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14:paraId="0D627582">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9"/>
        <w:tblW w:w="8237" w:type="dxa"/>
        <w:tblInd w:w="0" w:type="dxa"/>
        <w:tblLayout w:type="fixed"/>
        <w:tblCellMar>
          <w:top w:w="0" w:type="dxa"/>
          <w:left w:w="0" w:type="dxa"/>
          <w:bottom w:w="0" w:type="dxa"/>
          <w:right w:w="0" w:type="dxa"/>
        </w:tblCellMar>
      </w:tblPr>
      <w:tblGrid>
        <w:gridCol w:w="767"/>
        <w:gridCol w:w="1651"/>
        <w:gridCol w:w="5819"/>
      </w:tblGrid>
      <w:tr w14:paraId="76B4B81A">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0E1E526B">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78D1BB2">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1B0EB0F">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14:paraId="38CB02B5">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8BA6F96">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5A62FE88">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01CB9718">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14:paraId="11CF245B">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B9F02A7">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14:paraId="05763942">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2486FB1A">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14:paraId="54A0E270">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210A4E5">
            <w:pPr>
              <w:jc w:val="center"/>
            </w:pPr>
            <w:r>
              <w:t>3</w:t>
            </w:r>
          </w:p>
        </w:tc>
        <w:tc>
          <w:tcPr>
            <w:tcW w:w="1651" w:type="dxa"/>
            <w:vMerge w:val="continue"/>
            <w:tcBorders>
              <w:left w:val="single" w:color="000000" w:sz="4" w:space="0"/>
              <w:right w:val="single" w:color="000000" w:sz="4" w:space="0"/>
            </w:tcBorders>
            <w:vAlign w:val="center"/>
          </w:tcPr>
          <w:p w14:paraId="32281D6D">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2884199F">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14:paraId="00BD39A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A987FB6">
            <w:pPr>
              <w:jc w:val="center"/>
            </w:pPr>
            <w:r>
              <w:t>4</w:t>
            </w:r>
          </w:p>
        </w:tc>
        <w:tc>
          <w:tcPr>
            <w:tcW w:w="1651" w:type="dxa"/>
            <w:vMerge w:val="continue"/>
            <w:tcBorders>
              <w:left w:val="single" w:color="000000" w:sz="4" w:space="0"/>
              <w:right w:val="single" w:color="000000" w:sz="4" w:space="0"/>
            </w:tcBorders>
            <w:vAlign w:val="center"/>
          </w:tcPr>
          <w:p w14:paraId="34675950">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21A6E94B">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14:paraId="7F7F6C86">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49DB98">
            <w:pPr>
              <w:jc w:val="center"/>
            </w:pPr>
            <w:r>
              <w:rPr>
                <w:rFonts w:hint="eastAsia"/>
              </w:rPr>
              <w:t>5</w:t>
            </w:r>
          </w:p>
        </w:tc>
        <w:tc>
          <w:tcPr>
            <w:tcW w:w="1651" w:type="dxa"/>
            <w:tcBorders>
              <w:left w:val="single" w:color="000000" w:sz="4" w:space="0"/>
              <w:right w:val="single" w:color="000000" w:sz="4" w:space="0"/>
            </w:tcBorders>
            <w:vAlign w:val="center"/>
          </w:tcPr>
          <w:p w14:paraId="0EE2612D">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00DBF19">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14:paraId="44D7140B">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74B76261">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D8477">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0F26A0A5">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14:paraId="4B39C572">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4E68159">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7D2032CA">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34F893B">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14:paraId="58723E75">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8FA4D9D">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0D857E4B">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C321F17">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14:paraId="7662D9C5">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F831DD4">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7A7D73C3">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92A45F7">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14:paraId="11951B1E">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A09E789">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5187BD6F">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B12A9FD">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14:paraId="6DF00B9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97C236C">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7418CA7D">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2B224937">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14:paraId="4E096CAB">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14:paraId="6FB32097">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14:paraId="7DC1F32D">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69A6F4C5">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14:paraId="4B49D093">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14:paraId="5C05A807">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6696C5BB">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14:paraId="37BCDE7B">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51E1EF3E">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04468ADC">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14:paraId="46961C4B">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7EB61F7">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7B641E9">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14:paraId="1CFE4BC7">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14:paraId="08621AAC">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14:paraId="7E09DF32">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14:paraId="22F0BA83">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14:paraId="0DC6BB42">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14:paraId="3EFB9705">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14:paraId="164DAE6B">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14:paraId="0D4084B8">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14:paraId="078CFDFC">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14:paraId="75F60903">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十二、谈判与评标</w:t>
      </w:r>
    </w:p>
    <w:p w14:paraId="5A96B671">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8</w:t>
      </w:r>
      <w:r>
        <w:rPr>
          <w:rFonts w:hint="eastAsia" w:asciiTheme="minorEastAsia" w:hAnsiTheme="minorEastAsia"/>
          <w:sz w:val="24"/>
        </w:rPr>
        <w:t>月</w:t>
      </w:r>
      <w:r>
        <w:rPr>
          <w:rFonts w:hint="eastAsia" w:asciiTheme="minorEastAsia" w:hAnsiTheme="minorEastAsia"/>
          <w:sz w:val="24"/>
          <w:lang w:val="en-US" w:eastAsia="zh-CN"/>
        </w:rPr>
        <w:t>18</w:t>
      </w:r>
      <w:r>
        <w:rPr>
          <w:rFonts w:hint="eastAsia" w:asciiTheme="minorEastAsia" w:hAnsiTheme="minorEastAsia"/>
          <w:sz w:val="24"/>
        </w:rPr>
        <w:t>日</w:t>
      </w:r>
      <w:r>
        <w:rPr>
          <w:rFonts w:hint="eastAsia" w:asciiTheme="minorEastAsia" w:hAnsiTheme="minorEastAsia"/>
          <w:sz w:val="24"/>
          <w:lang w:val="en-US" w:eastAsia="zh-CN"/>
        </w:rPr>
        <w:t>14</w:t>
      </w:r>
      <w:bookmarkStart w:id="0" w:name="_GoBack"/>
      <w:bookmarkEnd w:id="0"/>
      <w:r>
        <w:rPr>
          <w:rFonts w:hint="eastAsia" w:asciiTheme="minorEastAsia" w:hAnsiTheme="minorEastAsia"/>
          <w:sz w:val="24"/>
        </w:rPr>
        <w:t>时(如有变化电话通知)</w:t>
      </w:r>
    </w:p>
    <w:p w14:paraId="6A4E644F">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14:paraId="4BFEEECB">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5D316110">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14:paraId="7C790182">
      <w:pPr>
        <w:pStyle w:val="8"/>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14:paraId="754D4FFD">
      <w:pPr>
        <w:pStyle w:val="18"/>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14:paraId="5C500181">
      <w:pPr>
        <w:pStyle w:val="18"/>
        <w:spacing w:beforeAutospacing="0" w:afterAutospacing="0" w:line="450" w:lineRule="atLeast"/>
      </w:pPr>
      <w:r>
        <w:rPr>
          <w:rFonts w:hint="eastAsia"/>
        </w:rPr>
        <w:t>2、能提供最合理的投标报价。</w:t>
      </w:r>
    </w:p>
    <w:p w14:paraId="78385504">
      <w:pPr>
        <w:pStyle w:val="18"/>
        <w:spacing w:beforeAutospacing="0" w:afterAutospacing="0" w:line="450" w:lineRule="atLeast"/>
        <w:rPr>
          <w:rFonts w:asciiTheme="minorEastAsia" w:hAnsiTheme="minorEastAsia" w:eastAsiaTheme="minorEastAsia"/>
        </w:rPr>
      </w:pPr>
      <w:r>
        <w:rPr>
          <w:rFonts w:hint="eastAsia"/>
        </w:rPr>
        <w:t>3、服务承诺及具体服务保证措施。</w:t>
      </w:r>
    </w:p>
    <w:p w14:paraId="2691B790">
      <w:pPr>
        <w:pStyle w:val="8"/>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14:paraId="4226A0AB">
      <w:pPr>
        <w:pStyle w:val="8"/>
        <w:spacing w:before="0" w:beforeAutospacing="0" w:after="0" w:afterAutospacing="0" w:line="450" w:lineRule="atLeast"/>
        <w:rPr>
          <w:rFonts w:asciiTheme="minorEastAsia" w:hAnsiTheme="minorEastAsia"/>
        </w:rPr>
      </w:pPr>
      <w:r>
        <w:rPr>
          <w:rFonts w:hint="eastAsia" w:asciiTheme="minorEastAsia" w:hAnsiTheme="minorEastAsia"/>
        </w:rPr>
        <w:t>5、</w:t>
      </w:r>
      <w:r>
        <w:rPr>
          <w:rFonts w:hint="eastAsia"/>
        </w:rPr>
        <w:t>投标报价最低者推荐为中标供应商</w:t>
      </w:r>
      <w:r>
        <w:rPr>
          <w:rFonts w:hint="eastAsia" w:asciiTheme="minorEastAsia" w:hAnsiTheme="minorEastAsia"/>
        </w:rPr>
        <w:t>。</w:t>
      </w:r>
    </w:p>
    <w:p w14:paraId="50DD2F21">
      <w:pPr>
        <w:pStyle w:val="8"/>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14:paraId="2B7958FB">
      <w:pPr>
        <w:pStyle w:val="8"/>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14:paraId="52DCDDBA">
      <w:pPr>
        <w:pStyle w:val="8"/>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14:paraId="0477140E">
      <w:pPr>
        <w:pStyle w:val="8"/>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14:paraId="2AD95F53">
      <w:pPr>
        <w:pStyle w:val="8"/>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14:paraId="7AB402F8">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十五、违约责任</w:t>
      </w:r>
    </w:p>
    <w:p w14:paraId="2C670F1C">
      <w:pPr>
        <w:pStyle w:val="8"/>
        <w:spacing w:line="450" w:lineRule="atLeast"/>
        <w:rPr>
          <w:bCs/>
          <w:color w:val="000000"/>
        </w:rPr>
      </w:pPr>
      <w:r>
        <w:rPr>
          <w:rFonts w:hint="eastAsia"/>
          <w:bCs/>
          <w:color w:val="000000"/>
        </w:rPr>
        <w:t>1、合作方在价格、质量、数量、服务等方面出现违约行为，医院有权终止合同并追究责任。并承担由于服务质量问题而产生的一切费用。</w:t>
      </w:r>
    </w:p>
    <w:p w14:paraId="2C065AA0">
      <w:pPr>
        <w:pStyle w:val="8"/>
        <w:spacing w:line="450" w:lineRule="atLeast"/>
        <w:rPr>
          <w:bCs/>
          <w:color w:val="000000"/>
        </w:rPr>
      </w:pPr>
      <w:r>
        <w:rPr>
          <w:rFonts w:hint="eastAsia"/>
          <w:bCs/>
          <w:color w:val="000000"/>
        </w:rPr>
        <w:t>2、如中标产品质量或服务不达标，被临床科室投诉三次以上，经核实确认后直接终止合同。相关产品重新招标，中标公司及其代理品牌不得继续参与投标。</w:t>
      </w:r>
    </w:p>
    <w:p w14:paraId="4C5B72EA">
      <w:pPr>
        <w:pStyle w:val="8"/>
        <w:spacing w:line="450" w:lineRule="atLeast"/>
        <w:rPr>
          <w:bCs/>
          <w:color w:val="000000"/>
        </w:rPr>
      </w:pPr>
      <w:r>
        <w:rPr>
          <w:rFonts w:hint="eastAsia"/>
          <w:bCs/>
          <w:color w:val="000000"/>
        </w:rPr>
        <w:t>3、如在合同期内，合同与法律、法规或政府行政部门要求发生抵触，则应按法律、法规或政府行政部门要求规定执行。</w:t>
      </w:r>
    </w:p>
    <w:p w14:paraId="1447B755">
      <w:pPr>
        <w:pStyle w:val="8"/>
        <w:spacing w:line="450" w:lineRule="atLeast"/>
        <w:rPr>
          <w:bCs/>
          <w:color w:val="000000"/>
        </w:rPr>
      </w:pPr>
      <w:r>
        <w:rPr>
          <w:rFonts w:hint="eastAsia"/>
          <w:bCs/>
          <w:color w:val="000000"/>
        </w:rPr>
        <w:t>4、合作方不能按时提供服务或超时提供服务而影响医院工作的，承担相关责任。</w:t>
      </w:r>
    </w:p>
    <w:p w14:paraId="66D84033">
      <w:pPr>
        <w:pStyle w:val="8"/>
        <w:spacing w:before="0" w:beforeAutospacing="0" w:after="0" w:afterAutospacing="0" w:line="450" w:lineRule="atLeast"/>
        <w:rPr>
          <w:bCs/>
          <w:color w:val="000000"/>
        </w:rPr>
      </w:pPr>
      <w:r>
        <w:rPr>
          <w:rFonts w:hint="eastAsia"/>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14:paraId="32D706E8">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r>
        <w:rPr>
          <w:rFonts w:hint="eastAsia" w:asciiTheme="minorEastAsia" w:hAnsiTheme="minorEastAsia"/>
          <w:b/>
          <w:bCs/>
          <w:color w:val="000000" w:themeColor="text1"/>
          <w14:textFill>
            <w14:solidFill>
              <w14:schemeClr w14:val="tx1"/>
            </w14:solidFill>
          </w14:textFill>
        </w:rPr>
        <w:t>十六、</w:t>
      </w:r>
      <w:r>
        <w:rPr>
          <w:rFonts w:hint="eastAsia" w:asciiTheme="minorEastAsia" w:hAnsiTheme="minorEastAsia" w:eastAsiaTheme="minorEastAsia"/>
          <w:b/>
          <w:bCs/>
          <w:color w:val="000000" w:themeColor="text1"/>
          <w14:textFill>
            <w14:solidFill>
              <w14:schemeClr w14:val="tx1"/>
            </w14:solidFill>
          </w14:textFill>
        </w:rPr>
        <w:t>接到中标通知后，三日内到医院招采办签订</w:t>
      </w:r>
      <w:r>
        <w:rPr>
          <w:rFonts w:hint="eastAsia" w:asciiTheme="minorEastAsia" w:hAnsiTheme="minorEastAsia"/>
          <w:b/>
          <w:bCs/>
          <w:color w:val="000000" w:themeColor="text1"/>
          <w14:textFill>
            <w14:solidFill>
              <w14:schemeClr w14:val="tx1"/>
            </w14:solidFill>
          </w14:textFill>
        </w:rPr>
        <w:t>试剂</w:t>
      </w:r>
      <w:r>
        <w:rPr>
          <w:rFonts w:hint="eastAsia" w:asciiTheme="minorEastAsia" w:hAnsiTheme="minorEastAsia" w:eastAsiaTheme="minorEastAsia"/>
          <w:b/>
          <w:bCs/>
          <w:color w:val="000000" w:themeColor="text1"/>
          <w14:textFill>
            <w14:solidFill>
              <w14:schemeClr w14:val="tx1"/>
            </w14:solidFill>
          </w14:textFill>
        </w:rPr>
        <w:t>合同，医疗设备科签订设备合同。</w:t>
      </w:r>
    </w:p>
    <w:p w14:paraId="41DC389E">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14:paraId="684D52C2">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14:paraId="260206AD">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14:paraId="72D99113">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14:paraId="7B93686E">
      <w:pPr>
        <w:pStyle w:val="8"/>
        <w:spacing w:before="0" w:beforeAutospacing="0" w:after="0" w:afterAutospacing="0" w:line="450" w:lineRule="atLeast"/>
        <w:rPr>
          <w:rFonts w:asciiTheme="minorEastAsia" w:hAnsiTheme="minorEastAsia"/>
          <w:b/>
          <w:bCs/>
          <w:color w:val="000000" w:themeColor="text1"/>
          <w14:textFill>
            <w14:solidFill>
              <w14:schemeClr w14:val="tx1"/>
            </w14:solidFill>
          </w14:textFill>
        </w:rPr>
      </w:pPr>
    </w:p>
    <w:p w14:paraId="18B13E47">
      <w:pPr>
        <w:pStyle w:val="8"/>
        <w:spacing w:before="0" w:beforeAutospacing="0" w:after="0" w:afterAutospacing="0" w:line="440" w:lineRule="exact"/>
        <w:rPr>
          <w:rFonts w:asciiTheme="minorEastAsia" w:hAnsiTheme="minorEastAsia"/>
          <w:b/>
          <w:sz w:val="36"/>
          <w:szCs w:val="36"/>
        </w:rPr>
      </w:pPr>
    </w:p>
    <w:p w14:paraId="48229A1B">
      <w:pPr>
        <w:pStyle w:val="8"/>
        <w:spacing w:before="0" w:beforeAutospacing="0" w:after="0" w:afterAutospacing="0" w:line="440" w:lineRule="exact"/>
        <w:rPr>
          <w:rFonts w:asciiTheme="minorEastAsia" w:hAnsiTheme="minorEastAsia"/>
          <w:b/>
          <w:sz w:val="36"/>
          <w:szCs w:val="36"/>
        </w:rPr>
      </w:pPr>
    </w:p>
    <w:p w14:paraId="30DE2394">
      <w:pPr>
        <w:pStyle w:val="8"/>
        <w:spacing w:before="0" w:beforeAutospacing="0" w:after="0" w:afterAutospacing="0" w:line="440" w:lineRule="exact"/>
        <w:rPr>
          <w:rFonts w:asciiTheme="minorEastAsia" w:hAnsiTheme="minorEastAsia"/>
          <w:b/>
          <w:sz w:val="36"/>
          <w:szCs w:val="36"/>
        </w:rPr>
      </w:pPr>
    </w:p>
    <w:p w14:paraId="3C4437DC">
      <w:pPr>
        <w:pStyle w:val="8"/>
        <w:spacing w:before="0" w:beforeAutospacing="0" w:after="0" w:afterAutospacing="0" w:line="440" w:lineRule="exact"/>
        <w:rPr>
          <w:rFonts w:asciiTheme="minorEastAsia" w:hAnsiTheme="minorEastAsia"/>
          <w:b/>
          <w:sz w:val="36"/>
          <w:szCs w:val="36"/>
        </w:rPr>
      </w:pPr>
    </w:p>
    <w:p w14:paraId="4D388F5E">
      <w:pPr>
        <w:rPr>
          <w:rFonts w:hint="eastAsia"/>
          <w:sz w:val="28"/>
          <w:szCs w:val="28"/>
        </w:rPr>
      </w:pPr>
    </w:p>
    <w:p w14:paraId="3C9B5130">
      <w:pPr>
        <w:rPr>
          <w:sz w:val="28"/>
          <w:szCs w:val="28"/>
        </w:rPr>
      </w:pPr>
      <w:r>
        <w:rPr>
          <w:rFonts w:hint="eastAsia"/>
          <w:sz w:val="28"/>
          <w:szCs w:val="28"/>
        </w:rPr>
        <w:t>附件：</w:t>
      </w:r>
    </w:p>
    <w:p w14:paraId="00CAFBAD">
      <w:pPr>
        <w:widowControl/>
        <w:jc w:val="left"/>
        <w:rPr>
          <w:rFonts w:cs="宋体"/>
          <w:color w:val="000000"/>
          <w:kern w:val="0"/>
          <w:sz w:val="28"/>
          <w:szCs w:val="28"/>
        </w:rPr>
      </w:pPr>
      <w:r>
        <w:rPr>
          <w:rFonts w:hint="eastAsia" w:cs="宋体"/>
          <w:color w:val="000000"/>
          <w:kern w:val="0"/>
          <w:sz w:val="28"/>
          <w:szCs w:val="28"/>
        </w:rPr>
        <w:t>技术参数及服务要求：</w:t>
      </w:r>
    </w:p>
    <w:p w14:paraId="2AF34A61">
      <w:pPr>
        <w:rPr>
          <w:rFonts w:ascii="仿宋_GB2312" w:hAnsi="宋体" w:eastAsia="仿宋_GB2312"/>
          <w:szCs w:val="21"/>
        </w:rPr>
      </w:pPr>
      <w:r>
        <w:rPr>
          <w:rFonts w:hint="eastAsia" w:ascii="仿宋_GB2312" w:hAnsi="宋体" w:eastAsia="仿宋_GB2312"/>
          <w:szCs w:val="21"/>
        </w:rPr>
        <w:t>1.设备结构：一体机，仪器自带打印机</w:t>
      </w:r>
    </w:p>
    <w:p w14:paraId="4B62FDF7">
      <w:pPr>
        <w:rPr>
          <w:rFonts w:ascii="仿宋_GB2312" w:hAnsi="宋体" w:eastAsia="仿宋_GB2312"/>
          <w:szCs w:val="21"/>
        </w:rPr>
      </w:pPr>
      <w:r>
        <w:rPr>
          <w:rFonts w:hint="eastAsia" w:ascii="仿宋_GB2312" w:hAnsi="宋体" w:eastAsia="仿宋_GB2312"/>
          <w:szCs w:val="21"/>
        </w:rPr>
        <w:t>2.检测方法：免疫荧光分析定量法</w:t>
      </w:r>
    </w:p>
    <w:p w14:paraId="4430F2D2">
      <w:pPr>
        <w:rPr>
          <w:rFonts w:ascii="仿宋_GB2312" w:hAnsi="宋体" w:eastAsia="仿宋_GB2312"/>
          <w:szCs w:val="21"/>
        </w:rPr>
      </w:pPr>
      <w:r>
        <w:rPr>
          <w:rFonts w:hint="eastAsia" w:ascii="仿宋_GB2312" w:hAnsi="宋体" w:eastAsia="仿宋_GB2312"/>
          <w:szCs w:val="21"/>
        </w:rPr>
        <w:t>3.★检测速度：不小于40个测试/小时，≥10个检测通道</w:t>
      </w:r>
    </w:p>
    <w:p w14:paraId="549D5BAA">
      <w:pPr>
        <w:rPr>
          <w:rFonts w:ascii="仿宋_GB2312" w:hAnsi="宋体" w:eastAsia="仿宋_GB2312"/>
          <w:szCs w:val="21"/>
        </w:rPr>
      </w:pPr>
      <w:r>
        <w:rPr>
          <w:rFonts w:hint="eastAsia" w:ascii="仿宋_GB2312" w:hAnsi="宋体" w:eastAsia="仿宋_GB2312"/>
          <w:szCs w:val="21"/>
        </w:rPr>
        <w:t>4.★心肌类项目检测时间均不超过15分钟</w:t>
      </w:r>
    </w:p>
    <w:p w14:paraId="59F63ABE">
      <w:pPr>
        <w:rPr>
          <w:rFonts w:ascii="仿宋_GB2312" w:hAnsi="宋体" w:eastAsia="仿宋_GB2312"/>
          <w:szCs w:val="21"/>
        </w:rPr>
      </w:pPr>
      <w:r>
        <w:rPr>
          <w:rFonts w:hint="eastAsia" w:ascii="仿宋_GB2312" w:hAnsi="宋体" w:eastAsia="仿宋_GB2312"/>
          <w:szCs w:val="21"/>
        </w:rPr>
        <w:t>5.工作模式：同时间多项目检测，全自动机内操作模式</w:t>
      </w:r>
    </w:p>
    <w:p w14:paraId="1DEDDD02">
      <w:pPr>
        <w:rPr>
          <w:rFonts w:ascii="仿宋_GB2312" w:hAnsi="宋体" w:eastAsia="仿宋_GB2312"/>
          <w:szCs w:val="21"/>
        </w:rPr>
      </w:pPr>
      <w:r>
        <w:rPr>
          <w:rFonts w:hint="eastAsia" w:ascii="仿宋_GB2312" w:hAnsi="宋体" w:eastAsia="仿宋_GB2312"/>
          <w:szCs w:val="21"/>
        </w:rPr>
        <w:t>6.操作：开机无需预热，迅速进入待测状态</w:t>
      </w:r>
    </w:p>
    <w:p w14:paraId="4F229E72">
      <w:pPr>
        <w:rPr>
          <w:rFonts w:ascii="仿宋_GB2312" w:hAnsi="宋体" w:eastAsia="仿宋_GB2312"/>
          <w:szCs w:val="21"/>
        </w:rPr>
      </w:pPr>
      <w:r>
        <w:rPr>
          <w:rFonts w:hint="eastAsia" w:ascii="仿宋_GB2312" w:hAnsi="宋体" w:eastAsia="仿宋_GB2312"/>
          <w:szCs w:val="21"/>
        </w:rPr>
        <w:t>校准质控系统：有内置质控管理系统,具备厂家配套质控品。</w:t>
      </w:r>
    </w:p>
    <w:p w14:paraId="6B9512BE">
      <w:pPr>
        <w:rPr>
          <w:rFonts w:ascii="仿宋_GB2312" w:hAnsi="宋体" w:eastAsia="仿宋_GB2312"/>
          <w:szCs w:val="21"/>
        </w:rPr>
      </w:pPr>
      <w:r>
        <w:rPr>
          <w:rFonts w:hint="eastAsia" w:ascii="仿宋_GB2312" w:hAnsi="宋体" w:eastAsia="仿宋_GB2312"/>
          <w:szCs w:val="21"/>
        </w:rPr>
        <w:t>7.★信息化管理：提供与医院现行实验室管理系统联机服务和联机电脑</w:t>
      </w:r>
    </w:p>
    <w:p w14:paraId="07AA4F8A">
      <w:pPr>
        <w:rPr>
          <w:rFonts w:ascii="仿宋_GB2312" w:hAnsi="宋体" w:eastAsia="仿宋_GB2312"/>
          <w:szCs w:val="21"/>
        </w:rPr>
      </w:pPr>
      <w:r>
        <w:rPr>
          <w:rFonts w:hint="eastAsia" w:ascii="仿宋_GB2312" w:hAnsi="宋体" w:eastAsia="仿宋_GB2312"/>
          <w:szCs w:val="21"/>
        </w:rPr>
        <w:t>8.仪器可存储不少于5000个结果，可智能选择结果查询时间区间进行结果管理</w:t>
      </w:r>
    </w:p>
    <w:p w14:paraId="2CBE0B1B">
      <w:pPr>
        <w:rPr>
          <w:rFonts w:ascii="仿宋_GB2312" w:hAnsi="宋体" w:eastAsia="仿宋_GB2312"/>
          <w:szCs w:val="21"/>
        </w:rPr>
      </w:pPr>
      <w:r>
        <w:rPr>
          <w:rFonts w:hint="eastAsia" w:ascii="仿宋_GB2312" w:hAnsi="宋体" w:eastAsia="仿宋_GB2312"/>
          <w:szCs w:val="21"/>
        </w:rPr>
        <w:t>9.样本类型：全血、血清、血浆、微量末梢血</w:t>
      </w:r>
    </w:p>
    <w:p w14:paraId="47827F35">
      <w:pPr>
        <w:rPr>
          <w:rFonts w:ascii="仿宋_GB2312" w:hAnsi="宋体" w:eastAsia="仿宋_GB2312"/>
          <w:szCs w:val="21"/>
        </w:rPr>
      </w:pPr>
      <w:r>
        <w:rPr>
          <w:rFonts w:hint="eastAsia" w:ascii="仿宋_GB2312" w:hAnsi="宋体" w:eastAsia="仿宋_GB2312"/>
          <w:szCs w:val="21"/>
        </w:rPr>
        <w:t>10.★检测项目：CTn</w:t>
      </w:r>
      <w:r>
        <w:rPr>
          <w:rFonts w:hint="eastAsia" w:ascii="仿宋_GB2312" w:eastAsia="仿宋_GB2312"/>
          <w:szCs w:val="21"/>
        </w:rPr>
        <w:t>I</w:t>
      </w:r>
      <w:r>
        <w:rPr>
          <w:rFonts w:hint="eastAsia" w:ascii="仿宋_GB2312" w:hAnsi="宋体" w:eastAsia="仿宋_GB2312"/>
          <w:szCs w:val="21"/>
        </w:rPr>
        <w:t>、CK-MB、Myo、CTn</w:t>
      </w:r>
      <w:r>
        <w:rPr>
          <w:rFonts w:hint="eastAsia" w:ascii="仿宋_GB2312" w:eastAsia="仿宋_GB2312"/>
          <w:szCs w:val="21"/>
        </w:rPr>
        <w:t>I/Myo</w:t>
      </w:r>
      <w:r>
        <w:rPr>
          <w:rFonts w:hint="eastAsia" w:ascii="仿宋_GB2312" w:hAnsi="宋体" w:eastAsia="仿宋_GB2312"/>
          <w:szCs w:val="21"/>
        </w:rPr>
        <w:t xml:space="preserve">/CK-MB心梗三联卡、D-Dimer、PCT、hCRP /CRP、proBNP </w:t>
      </w:r>
    </w:p>
    <w:p w14:paraId="31347D02">
      <w:pPr>
        <w:rPr>
          <w:rFonts w:ascii="仿宋_GB2312" w:hAnsi="宋体" w:eastAsia="仿宋_GB2312"/>
          <w:szCs w:val="21"/>
        </w:rPr>
      </w:pPr>
      <w:r>
        <w:rPr>
          <w:rFonts w:hint="eastAsia" w:ascii="仿宋_GB2312" w:hAnsi="宋体" w:eastAsia="仿宋_GB2312"/>
          <w:szCs w:val="21"/>
        </w:rPr>
        <w:t>11.模块可拓展检测项目，如H-FABP、IL-6、HbA1c、Lp-PLA2、SAA</w:t>
      </w:r>
    </w:p>
    <w:p w14:paraId="590744EF">
      <w:pPr>
        <w:rPr>
          <w:rFonts w:ascii="仿宋_GB2312" w:hAnsi="宋体" w:eastAsia="仿宋_GB2312"/>
          <w:szCs w:val="21"/>
        </w:rPr>
      </w:pPr>
      <w:r>
        <w:rPr>
          <w:rFonts w:hint="eastAsia" w:ascii="仿宋_GB2312" w:hAnsi="宋体" w:eastAsia="仿宋_GB2312"/>
          <w:szCs w:val="21"/>
        </w:rPr>
        <w:t>12.试剂卡质量控制：有内部标准作为试剂卡内部质控，对每个测试的变异因素进行校正</w:t>
      </w:r>
    </w:p>
    <w:p w14:paraId="2F909CC4">
      <w:pPr>
        <w:rPr>
          <w:rFonts w:ascii="仿宋_GB2312" w:hAnsi="宋体" w:eastAsia="仿宋_GB2312"/>
          <w:szCs w:val="21"/>
        </w:rPr>
      </w:pPr>
      <w:r>
        <w:rPr>
          <w:rFonts w:hint="eastAsia" w:ascii="仿宋_GB2312" w:hAnsi="宋体" w:eastAsia="仿宋_GB2312"/>
          <w:szCs w:val="21"/>
        </w:rPr>
        <w:t>13.★试剂卡效期：常温保存不少于12个月</w:t>
      </w:r>
    </w:p>
    <w:p w14:paraId="1F2B6EFD">
      <w:pPr>
        <w:rPr>
          <w:rFonts w:ascii="仿宋_GB2312" w:hAnsi="宋体" w:eastAsia="仿宋_GB2312"/>
          <w:szCs w:val="21"/>
        </w:rPr>
      </w:pPr>
      <w:r>
        <w:rPr>
          <w:rFonts w:hint="eastAsia" w:ascii="仿宋_GB2312" w:hAnsi="宋体" w:eastAsia="仿宋_GB2312"/>
          <w:szCs w:val="21"/>
        </w:rPr>
        <w:t>14.维护保养：无液路，无需其他维护保养</w:t>
      </w:r>
    </w:p>
    <w:p w14:paraId="6BB1272F">
      <w:pPr>
        <w:rPr>
          <w:rFonts w:ascii="仿宋_GB2312" w:hAnsi="宋体" w:eastAsia="仿宋_GB2312"/>
          <w:szCs w:val="21"/>
        </w:rPr>
      </w:pPr>
      <w:r>
        <w:rPr>
          <w:rFonts w:hint="eastAsia" w:ascii="仿宋_GB2312" w:hAnsi="宋体" w:eastAsia="仿宋_GB2312"/>
          <w:szCs w:val="21"/>
        </w:rPr>
        <w:t>15.精密性：变异系数（CV值）≤10％</w:t>
      </w:r>
    </w:p>
    <w:p w14:paraId="0C1126D0">
      <w:pPr>
        <w:spacing w:line="360" w:lineRule="exact"/>
        <w:rPr>
          <w:bCs/>
          <w:szCs w:val="21"/>
        </w:rPr>
      </w:pPr>
    </w:p>
    <w:p w14:paraId="23F97EDB">
      <w:pPr>
        <w:pStyle w:val="2"/>
        <w:spacing w:line="240" w:lineRule="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注：以上参数中★条款为必须满足项。非★条款不得超过3项（含3项）不满足。</w:t>
      </w:r>
    </w:p>
    <w:p w14:paraId="2926DEFE">
      <w:pPr>
        <w:rPr>
          <w:rFonts w:ascii="仿宋_GB2312" w:hAnsi="宋体" w:eastAsia="仿宋_GB2312"/>
          <w:szCs w:val="21"/>
        </w:rPr>
      </w:pPr>
      <w:r>
        <w:rPr>
          <w:rFonts w:hint="eastAsia" w:ascii="仿宋_GB2312" w:hAnsi="宋体" w:eastAsia="仿宋_GB2312"/>
          <w:szCs w:val="21"/>
        </w:rPr>
        <w:t>服务要求：</w:t>
      </w:r>
    </w:p>
    <w:p w14:paraId="5EAE5631">
      <w:pPr>
        <w:rPr>
          <w:rFonts w:ascii="仿宋_GB2312" w:hAnsi="宋体" w:eastAsia="仿宋_GB2312"/>
          <w:szCs w:val="21"/>
        </w:rPr>
      </w:pPr>
      <w:r>
        <w:rPr>
          <w:rFonts w:hint="eastAsia" w:ascii="仿宋_GB2312" w:hAnsi="宋体" w:eastAsia="仿宋_GB2312"/>
          <w:szCs w:val="21"/>
        </w:rPr>
        <w:t>1、质保期不少于2年</w:t>
      </w:r>
    </w:p>
    <w:p w14:paraId="295FAAA5">
      <w:pPr>
        <w:rPr>
          <w:rFonts w:ascii="仿宋_GB2312" w:hAnsi="宋体" w:eastAsia="仿宋_GB2312"/>
          <w:szCs w:val="21"/>
        </w:rPr>
      </w:pPr>
      <w:r>
        <w:rPr>
          <w:rFonts w:hint="eastAsia" w:ascii="仿宋_GB2312" w:hAnsi="宋体" w:eastAsia="仿宋_GB2312"/>
          <w:szCs w:val="21"/>
        </w:rPr>
        <w:t>2、接到维修通知后，2小时内响应，48小时内实施维修服务</w:t>
      </w:r>
    </w:p>
    <w:p w14:paraId="430F19EA">
      <w:pPr>
        <w:rPr>
          <w:rFonts w:ascii="仿宋_GB2312" w:hAnsi="宋体" w:eastAsia="仿宋_GB2312"/>
          <w:szCs w:val="21"/>
        </w:rPr>
      </w:pPr>
      <w:r>
        <w:rPr>
          <w:rFonts w:hint="eastAsia" w:ascii="仿宋_GB2312" w:hAnsi="宋体" w:eastAsia="仿宋_GB2312"/>
          <w:szCs w:val="21"/>
        </w:rPr>
        <w:t>3、终身免费提供技术服务、技术支持及咨询服务，在任何时候、任何地点均可享受到终生的免费咨询服务</w:t>
      </w:r>
    </w:p>
    <w:p w14:paraId="18A19370">
      <w:pPr>
        <w:rPr>
          <w:rFonts w:ascii="仿宋_GB2312" w:hAnsi="宋体" w:eastAsia="仿宋_GB2312"/>
          <w:szCs w:val="21"/>
        </w:rPr>
      </w:pPr>
      <w:r>
        <w:rPr>
          <w:rFonts w:hint="eastAsia" w:ascii="仿宋_GB2312" w:hAnsi="宋体" w:eastAsia="仿宋_GB2312"/>
          <w:szCs w:val="21"/>
        </w:rPr>
        <w:t>4、提供免费培训服务</w:t>
      </w:r>
    </w:p>
    <w:p w14:paraId="01F7D118">
      <w:pPr>
        <w:pStyle w:val="8"/>
        <w:spacing w:before="0" w:beforeAutospacing="0" w:after="0" w:afterAutospacing="0" w:line="450" w:lineRule="atLeast"/>
        <w:rPr>
          <w:rFonts w:asciiTheme="minorEastAsia" w:hAnsiTheme="minorEastAsia"/>
          <w:bCs/>
          <w:color w:val="000000" w:themeColor="text1"/>
          <w14:textFill>
            <w14:solidFill>
              <w14:schemeClr w14:val="tx1"/>
            </w14:solidFill>
          </w14:textFill>
        </w:rPr>
      </w:pPr>
    </w:p>
    <w:p w14:paraId="245D525D">
      <w:pPr>
        <w:rPr>
          <w:szCs w:val="30"/>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A6B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092443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fill on="f" focussize="0,0"/>
              <v:stroke on="f"/>
              <v:imagedata o:title=""/>
              <o:lock v:ext="edit" aspectratio="f"/>
              <v:textbox inset="0mm,0mm,0mm,0mm" style="mso-fit-shape-to-text:t;">
                <w:txbxContent>
                  <w:p w14:paraId="092443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AB6F">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F4"/>
    <w:rsid w:val="00001383"/>
    <w:rsid w:val="000035E9"/>
    <w:rsid w:val="00015695"/>
    <w:rsid w:val="00017A17"/>
    <w:rsid w:val="000213AC"/>
    <w:rsid w:val="00023C5B"/>
    <w:rsid w:val="00023F96"/>
    <w:rsid w:val="000258DB"/>
    <w:rsid w:val="00027539"/>
    <w:rsid w:val="000356E6"/>
    <w:rsid w:val="00040589"/>
    <w:rsid w:val="000468D6"/>
    <w:rsid w:val="00046E9F"/>
    <w:rsid w:val="000729AE"/>
    <w:rsid w:val="0007475A"/>
    <w:rsid w:val="00074A66"/>
    <w:rsid w:val="00075E6E"/>
    <w:rsid w:val="00092996"/>
    <w:rsid w:val="0009330C"/>
    <w:rsid w:val="00094DF6"/>
    <w:rsid w:val="000B0244"/>
    <w:rsid w:val="000B427A"/>
    <w:rsid w:val="000B64C5"/>
    <w:rsid w:val="000C626A"/>
    <w:rsid w:val="000D029F"/>
    <w:rsid w:val="000D6D48"/>
    <w:rsid w:val="000E3E48"/>
    <w:rsid w:val="000E6914"/>
    <w:rsid w:val="00104F0D"/>
    <w:rsid w:val="0010528D"/>
    <w:rsid w:val="00110A67"/>
    <w:rsid w:val="00110E6E"/>
    <w:rsid w:val="00120A55"/>
    <w:rsid w:val="00134C75"/>
    <w:rsid w:val="00135190"/>
    <w:rsid w:val="00142DBC"/>
    <w:rsid w:val="001529DF"/>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D7534"/>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D3628"/>
    <w:rsid w:val="003E2260"/>
    <w:rsid w:val="00407653"/>
    <w:rsid w:val="004156E3"/>
    <w:rsid w:val="00416900"/>
    <w:rsid w:val="00424576"/>
    <w:rsid w:val="00424D88"/>
    <w:rsid w:val="00440A7B"/>
    <w:rsid w:val="00461CBD"/>
    <w:rsid w:val="00464EEF"/>
    <w:rsid w:val="00483944"/>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B6B47"/>
    <w:rsid w:val="005D282E"/>
    <w:rsid w:val="005D3844"/>
    <w:rsid w:val="005D54FB"/>
    <w:rsid w:val="005F1F9D"/>
    <w:rsid w:val="00605180"/>
    <w:rsid w:val="00607F90"/>
    <w:rsid w:val="0061743A"/>
    <w:rsid w:val="0062132E"/>
    <w:rsid w:val="00650FD5"/>
    <w:rsid w:val="00672C5D"/>
    <w:rsid w:val="00673277"/>
    <w:rsid w:val="006845BE"/>
    <w:rsid w:val="00691221"/>
    <w:rsid w:val="00692639"/>
    <w:rsid w:val="006A755D"/>
    <w:rsid w:val="006B0A5C"/>
    <w:rsid w:val="006D4D06"/>
    <w:rsid w:val="006F39BC"/>
    <w:rsid w:val="006F6854"/>
    <w:rsid w:val="007004AB"/>
    <w:rsid w:val="007074B1"/>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4228D"/>
    <w:rsid w:val="00842AEE"/>
    <w:rsid w:val="00860910"/>
    <w:rsid w:val="00867172"/>
    <w:rsid w:val="00882D4E"/>
    <w:rsid w:val="00897AD7"/>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D0B3D"/>
    <w:rsid w:val="009F38A9"/>
    <w:rsid w:val="009F4DD2"/>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424BB"/>
    <w:rsid w:val="00B546BA"/>
    <w:rsid w:val="00B65BCF"/>
    <w:rsid w:val="00B878D0"/>
    <w:rsid w:val="00B95F52"/>
    <w:rsid w:val="00B966EC"/>
    <w:rsid w:val="00B969FD"/>
    <w:rsid w:val="00BA0AF3"/>
    <w:rsid w:val="00BA21AE"/>
    <w:rsid w:val="00BC2C93"/>
    <w:rsid w:val="00BD16BD"/>
    <w:rsid w:val="00BE0BCA"/>
    <w:rsid w:val="00C0265D"/>
    <w:rsid w:val="00C07095"/>
    <w:rsid w:val="00C11CB4"/>
    <w:rsid w:val="00C11E6D"/>
    <w:rsid w:val="00C16621"/>
    <w:rsid w:val="00C259CC"/>
    <w:rsid w:val="00C347FD"/>
    <w:rsid w:val="00C37BE2"/>
    <w:rsid w:val="00C41EBF"/>
    <w:rsid w:val="00C572E7"/>
    <w:rsid w:val="00C60288"/>
    <w:rsid w:val="00C611DD"/>
    <w:rsid w:val="00C61ED5"/>
    <w:rsid w:val="00C630C6"/>
    <w:rsid w:val="00C65D6B"/>
    <w:rsid w:val="00C70CFB"/>
    <w:rsid w:val="00C71052"/>
    <w:rsid w:val="00C73615"/>
    <w:rsid w:val="00C808A3"/>
    <w:rsid w:val="00C85637"/>
    <w:rsid w:val="00C914DD"/>
    <w:rsid w:val="00C92061"/>
    <w:rsid w:val="00CA080D"/>
    <w:rsid w:val="00CA480D"/>
    <w:rsid w:val="00CC5ED9"/>
    <w:rsid w:val="00CD3586"/>
    <w:rsid w:val="00CD40CB"/>
    <w:rsid w:val="00CD481A"/>
    <w:rsid w:val="00CE1616"/>
    <w:rsid w:val="00CE17B4"/>
    <w:rsid w:val="00CF5A00"/>
    <w:rsid w:val="00D00469"/>
    <w:rsid w:val="00D013A6"/>
    <w:rsid w:val="00D0347A"/>
    <w:rsid w:val="00D06ABB"/>
    <w:rsid w:val="00D31DC7"/>
    <w:rsid w:val="00D32DAC"/>
    <w:rsid w:val="00D35A8B"/>
    <w:rsid w:val="00D45942"/>
    <w:rsid w:val="00D45F89"/>
    <w:rsid w:val="00D5307C"/>
    <w:rsid w:val="00D54FBF"/>
    <w:rsid w:val="00D65A72"/>
    <w:rsid w:val="00D80122"/>
    <w:rsid w:val="00D974A0"/>
    <w:rsid w:val="00DB2DF5"/>
    <w:rsid w:val="00DB2E2C"/>
    <w:rsid w:val="00DB5979"/>
    <w:rsid w:val="00DC5339"/>
    <w:rsid w:val="00DD5212"/>
    <w:rsid w:val="00DE44B0"/>
    <w:rsid w:val="00DE58C4"/>
    <w:rsid w:val="00DF0D19"/>
    <w:rsid w:val="00DF7723"/>
    <w:rsid w:val="00E0088A"/>
    <w:rsid w:val="00E208A6"/>
    <w:rsid w:val="00E30F03"/>
    <w:rsid w:val="00E36E82"/>
    <w:rsid w:val="00E41432"/>
    <w:rsid w:val="00E508A1"/>
    <w:rsid w:val="00E61210"/>
    <w:rsid w:val="00E64EB3"/>
    <w:rsid w:val="00E80620"/>
    <w:rsid w:val="00E960E1"/>
    <w:rsid w:val="00EA64F1"/>
    <w:rsid w:val="00EB3DD5"/>
    <w:rsid w:val="00EC7C2B"/>
    <w:rsid w:val="00EE13F4"/>
    <w:rsid w:val="00EE3EAB"/>
    <w:rsid w:val="00EF2F60"/>
    <w:rsid w:val="00F11D3D"/>
    <w:rsid w:val="00F13A55"/>
    <w:rsid w:val="00F161E3"/>
    <w:rsid w:val="00F22CED"/>
    <w:rsid w:val="00F3764B"/>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5DF0718"/>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8723E0"/>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27991"/>
    <w:rsid w:val="3E665485"/>
    <w:rsid w:val="40220240"/>
    <w:rsid w:val="424312A0"/>
    <w:rsid w:val="439D2AE4"/>
    <w:rsid w:val="43C033A1"/>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B0876"/>
    <w:rsid w:val="52CF37E5"/>
    <w:rsid w:val="531D4093"/>
    <w:rsid w:val="53B060C3"/>
    <w:rsid w:val="54056B94"/>
    <w:rsid w:val="54341AC5"/>
    <w:rsid w:val="5467502C"/>
    <w:rsid w:val="547C14B4"/>
    <w:rsid w:val="54BF7AD6"/>
    <w:rsid w:val="54D547F1"/>
    <w:rsid w:val="55715686"/>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unhideWhenUsed/>
    <w:qFormat/>
    <w:uiPriority w:val="99"/>
    <w:rPr>
      <w:color w:val="800080"/>
      <w:u w:val="single"/>
    </w:rPr>
  </w:style>
  <w:style w:type="character" w:styleId="14">
    <w:name w:val="Hyperlink"/>
    <w:basedOn w:val="11"/>
    <w:unhideWhenUsed/>
    <w:qFormat/>
    <w:uiPriority w:val="99"/>
    <w:rPr>
      <w:color w:val="0000FF"/>
      <w:u w:val="single"/>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0"/>
    <w:rPr>
      <w:sz w:val="18"/>
      <w:szCs w:val="18"/>
    </w:rPr>
  </w:style>
  <w:style w:type="character" w:customStyle="1" w:styleId="17">
    <w:name w:val="批注框文本 Char"/>
    <w:basedOn w:val="11"/>
    <w:link w:val="5"/>
    <w:semiHidden/>
    <w:qFormat/>
    <w:uiPriority w:val="99"/>
    <w:rPr>
      <w:kern w:val="2"/>
      <w:sz w:val="18"/>
      <w:szCs w:val="18"/>
    </w:rPr>
  </w:style>
  <w:style w:type="paragraph" w:customStyle="1" w:styleId="18">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9">
    <w:name w:val="日期 Char"/>
    <w:basedOn w:val="11"/>
    <w:link w:val="4"/>
    <w:qFormat/>
    <w:uiPriority w:val="0"/>
    <w:rPr>
      <w:kern w:val="2"/>
      <w:sz w:val="21"/>
      <w:szCs w:val="24"/>
    </w:rPr>
  </w:style>
  <w:style w:type="paragraph" w:customStyle="1" w:styleId="20">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9">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3">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4">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8">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5">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7">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4">
    <w:name w:val="标题 1 Char"/>
    <w:basedOn w:val="11"/>
    <w:link w:val="2"/>
    <w:qFormat/>
    <w:uiPriority w:val="0"/>
    <w:rPr>
      <w:b/>
      <w:bCs/>
      <w:kern w:val="44"/>
      <w:sz w:val="44"/>
      <w:szCs w:val="44"/>
    </w:rPr>
  </w:style>
  <w:style w:type="character" w:customStyle="1" w:styleId="55">
    <w:name w:val="标题 2 Char"/>
    <w:basedOn w:val="11"/>
    <w:link w:val="3"/>
    <w:qFormat/>
    <w:uiPriority w:val="0"/>
    <w:rPr>
      <w:rFonts w:ascii="Arial" w:hAnsi="Arial" w:eastAsia="黑体"/>
      <w:b/>
      <w:bCs/>
      <w:kern w:val="2"/>
      <w:sz w:val="32"/>
      <w:szCs w:val="32"/>
    </w:rPr>
  </w:style>
  <w:style w:type="paragraph" w:customStyle="1" w:styleId="56">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paragraph" w:styleId="5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5826B-5D4B-4992-AB28-99455A1F8653}">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6</Pages>
  <Words>3075</Words>
  <Characters>3252</Characters>
  <Lines>25</Lines>
  <Paragraphs>7</Paragraphs>
  <TotalTime>3</TotalTime>
  <ScaleCrop>false</ScaleCrop>
  <LinksUpToDate>false</LinksUpToDate>
  <CharactersWithSpaces>3285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2025-08-11T01:41:00Z</dcterms:created>
  <dc:creator>lenovo</dc:creator>
  <cp:lastModifiedBy>云</cp:lastModifiedBy>
  <cp:lastPrinted>2025-08-12T02:45:00Z</cp:lastPrinted>
  <dcterms:modified xsi:type="dcterms:W3CDTF">2025-08-12T13:15:39Z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10A0BC30F01D4785B6C9747DA7E5152C_13</vt:lpwstr>
  </property>
  <property fmtid="{D5CDD505-2E9C-101B-9397-08002B2CF9AE}" pid="4" name="KSOTemplateDocerSaveRecord">
    <vt:lpwstr>eyJoZGlkIjoiNmMxMjE3ODIzODFiZWEyYTU5NmUxMjY5MzQwYWUyM2EiLCJ1c2VySWQiOiI2NTg2OTQzMTAifQ==</vt:lpwstr>
  </property>
</Properties>
</file>