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kern w:val="0"/>
          <w:sz w:val="30"/>
          <w:szCs w:val="30"/>
          <w:u w:val="none"/>
          <w:lang w:eastAsia="zh-CN"/>
        </w:rPr>
      </w:pPr>
      <w:r>
        <w:rPr>
          <w:rFonts w:hint="eastAsia" w:ascii="宋体" w:hAnsi="宋体" w:cs="宋体"/>
          <w:b/>
          <w:bCs/>
          <w:kern w:val="0"/>
          <w:sz w:val="30"/>
          <w:szCs w:val="30"/>
          <w:u w:val="none"/>
          <w:lang w:eastAsia="zh-CN"/>
        </w:rPr>
        <w:t>大庆市第五医院委托三方招标代理机构服务招标公告</w:t>
      </w:r>
    </w:p>
    <w:p>
      <w:pPr>
        <w:widowControl/>
        <w:spacing w:line="480" w:lineRule="exact"/>
        <w:jc w:val="left"/>
        <w:rPr>
          <w:rFonts w:hint="default" w:ascii="宋体" w:hAnsi="宋体" w:cs="宋体" w:eastAsiaTheme="minorEastAsia"/>
          <w:kern w:val="0"/>
          <w:sz w:val="24"/>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2025041</w:t>
      </w:r>
    </w:p>
    <w:p>
      <w:pPr>
        <w:widowControl/>
        <w:spacing w:line="480" w:lineRule="exact"/>
        <w:jc w:val="left"/>
        <w:rPr>
          <w:rFonts w:asciiTheme="minorEastAsia" w:hAnsiTheme="minorEastAsia" w:eastAsiaTheme="minorEastAsia"/>
        </w:rPr>
      </w:pPr>
      <w:r>
        <w:rPr>
          <w:rFonts w:hint="eastAsia" w:cs="宋体" w:asciiTheme="minorEastAsia" w:hAnsiTheme="minorEastAsia" w:eastAsiaTheme="minorEastAsia"/>
          <w:b/>
          <w:bCs/>
          <w:kern w:val="0"/>
          <w:sz w:val="24"/>
        </w:rPr>
        <w:t>二、项目名称:</w:t>
      </w:r>
      <w:r>
        <w:rPr>
          <w:rFonts w:hint="eastAsia" w:cs="宋体" w:asciiTheme="minorEastAsia" w:hAnsiTheme="minorEastAsia" w:eastAsiaTheme="minorEastAsia"/>
          <w:bCs/>
          <w:kern w:val="0"/>
          <w:sz w:val="24"/>
          <w:lang w:eastAsia="zh-CN"/>
        </w:rPr>
        <w:t>大庆市第五医院委托三方招标代理机构服务招标公告</w:t>
      </w:r>
    </w:p>
    <w:p>
      <w:pPr>
        <w:widowControl/>
        <w:spacing w:line="480" w:lineRule="exact"/>
        <w:jc w:val="left"/>
        <w:rPr>
          <w:rFonts w:hint="eastAsia"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三、采购类型:</w:t>
      </w:r>
      <w:r>
        <w:rPr>
          <w:rFonts w:hint="eastAsia"/>
        </w:rPr>
        <w:t xml:space="preserve"> </w:t>
      </w:r>
      <w:r>
        <w:rPr>
          <w:rFonts w:hint="eastAsia" w:cs="宋体" w:asciiTheme="minorEastAsia" w:hAnsiTheme="minorEastAsia" w:eastAsiaTheme="minorEastAsia"/>
          <w:bCs/>
          <w:kern w:val="0"/>
          <w:sz w:val="24"/>
        </w:rPr>
        <w:t>竞争性磋商（综合打分法）</w:t>
      </w:r>
      <w:r>
        <w:rPr>
          <w:rFonts w:hint="eastAsia" w:cs="宋体" w:asciiTheme="minorEastAsia" w:hAnsiTheme="minorEastAsia" w:eastAsiaTheme="minorEastAsia"/>
          <w:bCs/>
          <w:kern w:val="0"/>
          <w:sz w:val="24"/>
          <w:lang w:eastAsia="zh-CN"/>
        </w:rPr>
        <w:t>，</w:t>
      </w:r>
      <w:r>
        <w:rPr>
          <w:rFonts w:hint="eastAsia" w:cs="宋体" w:asciiTheme="minorEastAsia" w:hAnsiTheme="minorEastAsia" w:eastAsiaTheme="minorEastAsia"/>
          <w:bCs/>
          <w:kern w:val="0"/>
          <w:sz w:val="24"/>
          <w:lang w:val="en-US" w:eastAsia="zh-CN"/>
        </w:rPr>
        <w:t>报名服务商请详细查阅招标公告，服务商根据磋商文件的要求，编制响应文件。招标采购办公室会以电话的形式通知服务商具体磋商时间和地点。到达现场的服务商进行签到确认，提交密封好的相关资料,评委根据初步评审表要求查阅响应文件，进行综合打分，最终排名以现场评委评分总和排序，得分最高的服务商胜出，其余服务商签字退场。</w:t>
      </w:r>
    </w:p>
    <w:p>
      <w:pPr>
        <w:pStyle w:val="9"/>
        <w:spacing w:before="0" w:beforeAutospacing="0" w:after="0" w:afterAutospacing="0" w:line="480" w:lineRule="exact"/>
        <w:rPr>
          <w:rFonts w:hint="eastAsia" w:ascii="宋体" w:hAnsi="宋体" w:cs="宋体"/>
          <w:b w:val="0"/>
          <w:bCs w:val="0"/>
          <w:kern w:val="0"/>
          <w:szCs w:val="21"/>
          <w:lang w:val="en-US" w:eastAsia="zh-CN"/>
        </w:rPr>
      </w:pPr>
      <w:r>
        <w:rPr>
          <w:rFonts w:hint="eastAsia" w:asciiTheme="minorEastAsia" w:hAnsiTheme="minorEastAsia" w:eastAsiaTheme="minorEastAsia"/>
          <w:b/>
          <w:bCs/>
          <w:color w:val="000000" w:themeColor="text1"/>
          <w14:textFill>
            <w14:solidFill>
              <w14:schemeClr w14:val="tx1"/>
            </w14:solidFill>
          </w14:textFill>
        </w:rPr>
        <w:t>四、预算金额：</w:t>
      </w:r>
      <w:r>
        <w:rPr>
          <w:rFonts w:hint="eastAsia" w:cs="宋体"/>
          <w:b w:val="0"/>
          <w:bCs w:val="0"/>
          <w:kern w:val="0"/>
          <w:szCs w:val="21"/>
          <w:lang w:val="en-US" w:eastAsia="zh-CN"/>
        </w:rPr>
        <w:t>0.00</w:t>
      </w:r>
      <w:r>
        <w:rPr>
          <w:rFonts w:hint="eastAsia" w:cs="宋体" w:asciiTheme="minorEastAsia" w:hAnsiTheme="minorEastAsia" w:eastAsiaTheme="minorEastAsia"/>
          <w:bCs/>
          <w:kern w:val="0"/>
          <w:sz w:val="24"/>
          <w:szCs w:val="24"/>
          <w:lang w:val="en-US" w:eastAsia="zh-CN" w:bidi="ar-SA"/>
        </w:rPr>
        <w:t>元。由所代理采购项目的中标人支付（有总预算金额的项目代理费不得高于代理项目中标金额的1.5%，没有总预算金额的项目代理费不高于10000.00元）。</w:t>
      </w:r>
    </w:p>
    <w:p>
      <w:pPr>
        <w:widowControl/>
        <w:spacing w:line="384" w:lineRule="auto"/>
        <w:rPr>
          <w:rFonts w:hint="eastAsia" w:cs="宋体" w:asciiTheme="minorEastAsia" w:hAnsiTheme="minorEastAsia" w:eastAsiaTheme="minorEastAsia"/>
          <w:bCs/>
          <w:kern w:val="0"/>
          <w:sz w:val="24"/>
          <w:lang w:val="en-US" w:eastAsia="zh-CN"/>
        </w:rPr>
      </w:pPr>
      <w:r>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t>五、服务期限：</w:t>
      </w:r>
      <w:r>
        <w:rPr>
          <w:rFonts w:hint="eastAsia" w:cs="宋体" w:asciiTheme="minorEastAsia" w:hAnsiTheme="minorEastAsia" w:eastAsiaTheme="minorEastAsia"/>
          <w:bCs/>
          <w:kern w:val="0"/>
          <w:sz w:val="24"/>
          <w:lang w:val="en-US" w:eastAsia="zh-CN"/>
        </w:rPr>
        <w:t>三年。合同一年一签（每一个年度服务期届满前，院方对中标单位服务质量进行综合评价，用以确定是否续签下一年度合同,如综合评价不合格院方不再续签合同，双方合作终止）。</w:t>
      </w:r>
    </w:p>
    <w:p>
      <w:pPr>
        <w:widowControl/>
        <w:spacing w:line="384" w:lineRule="auto"/>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t>六、公告期限：2025年11月3日至2025年11月5日止</w:t>
      </w:r>
    </w:p>
    <w:p>
      <w:pPr>
        <w:widowControl/>
        <w:spacing w:line="384" w:lineRule="auto"/>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t>七、初步评审标准：</w:t>
      </w:r>
    </w:p>
    <w:tbl>
      <w:tblPr>
        <w:tblStyle w:val="12"/>
        <w:tblW w:w="9084" w:type="dxa"/>
        <w:tblInd w:w="96" w:type="dxa"/>
        <w:tblLayout w:type="fixed"/>
        <w:tblCellMar>
          <w:top w:w="0" w:type="dxa"/>
          <w:left w:w="108" w:type="dxa"/>
          <w:bottom w:w="0" w:type="dxa"/>
          <w:right w:w="108" w:type="dxa"/>
        </w:tblCellMar>
      </w:tblPr>
      <w:tblGrid>
        <w:gridCol w:w="438"/>
        <w:gridCol w:w="3362"/>
        <w:gridCol w:w="5284"/>
      </w:tblGrid>
      <w:tr>
        <w:tblPrEx>
          <w:tblLayout w:type="fixed"/>
          <w:tblCellMar>
            <w:top w:w="0" w:type="dxa"/>
            <w:left w:w="108" w:type="dxa"/>
            <w:bottom w:w="0" w:type="dxa"/>
            <w:right w:w="108" w:type="dxa"/>
          </w:tblCellMar>
        </w:tblPrEx>
        <w:trPr>
          <w:trHeight w:val="465" w:hRule="atLeast"/>
        </w:trPr>
        <w:tc>
          <w:tcPr>
            <w:tcW w:w="438"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Cs w:val="21"/>
              </w:rPr>
            </w:pPr>
            <w:r>
              <w:rPr>
                <w:rFonts w:hint="eastAsia" w:ascii="宋体" w:hAnsi="宋体" w:cs="宋体"/>
                <w:kern w:val="0"/>
                <w:szCs w:val="21"/>
              </w:rPr>
              <w:t>1</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lang w:val="en-US" w:eastAsia="zh-CN"/>
              </w:rPr>
              <w:t>服务商</w:t>
            </w:r>
            <w:r>
              <w:rPr>
                <w:rFonts w:hint="eastAsia" w:ascii="宋体" w:hAnsi="宋体" w:cs="宋体"/>
                <w:kern w:val="0"/>
                <w:szCs w:val="21"/>
              </w:rPr>
              <w:t>名称</w:t>
            </w:r>
          </w:p>
        </w:tc>
        <w:tc>
          <w:tcPr>
            <w:tcW w:w="528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与营业执照一致。</w:t>
            </w:r>
          </w:p>
        </w:tc>
      </w:tr>
      <w:tr>
        <w:tblPrEx>
          <w:tblLayout w:type="fixed"/>
          <w:tblCellMar>
            <w:top w:w="0" w:type="dxa"/>
            <w:left w:w="108" w:type="dxa"/>
            <w:bottom w:w="0" w:type="dxa"/>
            <w:right w:w="108" w:type="dxa"/>
          </w:tblCellMar>
        </w:tblPrEx>
        <w:trPr>
          <w:trHeight w:val="1050" w:hRule="atLeast"/>
        </w:trPr>
        <w:tc>
          <w:tcPr>
            <w:tcW w:w="438" w:type="dxa"/>
            <w:tcBorders>
              <w:top w:val="nil"/>
              <w:left w:val="single" w:color="auto" w:sz="4" w:space="0"/>
              <w:bottom w:val="nil"/>
              <w:right w:val="single" w:color="auto" w:sz="4" w:space="0"/>
            </w:tcBorders>
            <w:vAlign w:val="top"/>
          </w:tcPr>
          <w:p>
            <w:pPr>
              <w:widowControl/>
              <w:jc w:val="center"/>
              <w:rPr>
                <w:rFonts w:ascii="宋体" w:hAnsi="宋体" w:cs="宋体"/>
                <w:kern w:val="0"/>
                <w:szCs w:val="21"/>
              </w:rPr>
            </w:pPr>
            <w:r>
              <w:rPr>
                <w:rFonts w:hint="eastAsia" w:ascii="宋体" w:hAnsi="宋体" w:cs="宋体"/>
                <w:kern w:val="0"/>
                <w:szCs w:val="21"/>
              </w:rPr>
              <w:t>2</w:t>
            </w:r>
          </w:p>
        </w:tc>
        <w:tc>
          <w:tcPr>
            <w:tcW w:w="3362" w:type="dxa"/>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eastAsia="zh-CN"/>
              </w:rPr>
              <w:t>磋商</w:t>
            </w:r>
            <w:r>
              <w:rPr>
                <w:rFonts w:hint="eastAsia" w:ascii="宋体" w:hAnsi="宋体" w:cs="宋体"/>
                <w:kern w:val="0"/>
                <w:szCs w:val="21"/>
              </w:rPr>
              <w:t>响应文件格式</w:t>
            </w:r>
          </w:p>
        </w:tc>
        <w:tc>
          <w:tcPr>
            <w:tcW w:w="5284" w:type="dxa"/>
            <w:tcBorders>
              <w:top w:val="nil"/>
              <w:left w:val="nil"/>
              <w:bottom w:val="nil"/>
              <w:right w:val="single" w:color="auto" w:sz="4" w:space="0"/>
            </w:tcBorders>
            <w:shd w:val="clear" w:color="auto" w:fill="auto"/>
            <w:vAlign w:val="center"/>
          </w:tcPr>
          <w:p>
            <w:pPr>
              <w:widowControl/>
              <w:rPr>
                <w:rFonts w:hint="default"/>
                <w:lang w:val="en-US" w:eastAsia="zh-CN"/>
              </w:rPr>
            </w:pPr>
            <w:r>
              <w:rPr>
                <w:rFonts w:hint="eastAsia" w:ascii="宋体" w:hAnsi="宋体" w:cs="宋体"/>
                <w:kern w:val="0"/>
                <w:szCs w:val="21"/>
              </w:rPr>
              <w:t>符合“</w:t>
            </w:r>
            <w:r>
              <w:rPr>
                <w:rFonts w:hint="eastAsia" w:ascii="宋体" w:hAnsi="宋体" w:cs="宋体"/>
                <w:kern w:val="0"/>
                <w:szCs w:val="21"/>
                <w:lang w:eastAsia="zh-CN"/>
              </w:rPr>
              <w:t>磋商</w:t>
            </w:r>
            <w:r>
              <w:rPr>
                <w:rFonts w:hint="eastAsia" w:ascii="宋体" w:hAnsi="宋体" w:cs="宋体"/>
                <w:kern w:val="0"/>
                <w:szCs w:val="21"/>
              </w:rPr>
              <w:t>响应文件格式”的要求。</w:t>
            </w:r>
          </w:p>
        </w:tc>
      </w:tr>
      <w:tr>
        <w:tblPrEx>
          <w:tblLayout w:type="fixed"/>
          <w:tblCellMar>
            <w:top w:w="0" w:type="dxa"/>
            <w:left w:w="108" w:type="dxa"/>
            <w:bottom w:w="0" w:type="dxa"/>
            <w:right w:w="108" w:type="dxa"/>
          </w:tblCellMar>
        </w:tblPrEx>
        <w:trPr>
          <w:trHeight w:val="1011" w:hRule="atLeast"/>
        </w:trPr>
        <w:tc>
          <w:tcPr>
            <w:tcW w:w="438"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Cs w:val="21"/>
              </w:rPr>
            </w:pPr>
          </w:p>
          <w:p>
            <w:pPr>
              <w:widowControl/>
              <w:jc w:val="center"/>
              <w:rPr>
                <w:rFonts w:hint="eastAsia" w:ascii="宋体" w:hAnsi="宋体" w:eastAsia="宋体" w:cs="宋体"/>
                <w:color w:val="000000"/>
                <w:kern w:val="0"/>
                <w:szCs w:val="21"/>
                <w:lang w:val="en-US" w:eastAsia="zh-CN"/>
              </w:rPr>
            </w:pPr>
            <w:r>
              <w:rPr>
                <w:rFonts w:hint="eastAsia" w:ascii="宋体" w:hAnsi="宋体" w:cs="宋体"/>
                <w:kern w:val="0"/>
                <w:szCs w:val="21"/>
              </w:rPr>
              <w:t>3</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kern w:val="0"/>
                <w:szCs w:val="21"/>
                <w:lang w:val="en-US" w:eastAsia="zh-CN"/>
              </w:rPr>
              <w:t>中国境内注册的合格企业</w:t>
            </w:r>
          </w:p>
        </w:tc>
        <w:tc>
          <w:tcPr>
            <w:tcW w:w="5284" w:type="dxa"/>
            <w:tcBorders>
              <w:top w:val="single" w:color="auto" w:sz="4" w:space="0"/>
              <w:left w:val="nil"/>
              <w:bottom w:val="single" w:color="auto" w:sz="4" w:space="0"/>
              <w:right w:val="single" w:color="auto" w:sz="4" w:space="0"/>
            </w:tcBorders>
            <w:shd w:val="clear" w:color="auto" w:fill="auto"/>
            <w:vAlign w:val="center"/>
          </w:tcPr>
          <w:p>
            <w:pPr>
              <w:pStyle w:val="2"/>
              <w:ind w:left="0" w:leftChars="0" w:firstLine="0" w:firstLineChars="0"/>
              <w:rPr>
                <w:rFonts w:hint="default"/>
                <w:highlight w:val="none"/>
                <w:lang w:val="en-US" w:eastAsia="zh-CN"/>
              </w:rPr>
            </w:pPr>
            <w:r>
              <w:rPr>
                <w:rFonts w:hint="default"/>
                <w:highlight w:val="none"/>
                <w:lang w:val="en-US" w:eastAsia="zh-CN"/>
              </w:rPr>
              <w:t>投标人应是在中国境内注册的合格企业，并具有有效的营业执照并符合以下要求：</w:t>
            </w:r>
          </w:p>
          <w:p>
            <w:pPr>
              <w:pStyle w:val="2"/>
              <w:ind w:left="0" w:leftChars="0" w:firstLine="0" w:firstLineChars="0"/>
              <w:rPr>
                <w:rFonts w:hint="default"/>
                <w:highlight w:val="none"/>
                <w:lang w:val="en-US" w:eastAsia="zh-CN"/>
              </w:rPr>
            </w:pPr>
            <w:r>
              <w:rPr>
                <w:rFonts w:hint="default"/>
                <w:highlight w:val="none"/>
                <w:lang w:val="en-US" w:eastAsia="zh-CN"/>
              </w:rPr>
              <w:t>①、具有独立承担民事责任的能力；</w:t>
            </w:r>
          </w:p>
          <w:p>
            <w:pPr>
              <w:pStyle w:val="2"/>
              <w:ind w:left="0" w:leftChars="0" w:firstLine="0" w:firstLineChars="0"/>
              <w:rPr>
                <w:rFonts w:hint="default"/>
                <w:highlight w:val="none"/>
                <w:lang w:val="en-US" w:eastAsia="zh-CN"/>
              </w:rPr>
            </w:pPr>
            <w:r>
              <w:rPr>
                <w:rFonts w:hint="default"/>
                <w:highlight w:val="none"/>
                <w:lang w:val="en-US" w:eastAsia="zh-CN"/>
              </w:rPr>
              <w:t>②、具有良好的商业信誉和健全的财务会计制度；</w:t>
            </w:r>
          </w:p>
          <w:p>
            <w:pPr>
              <w:pStyle w:val="2"/>
              <w:ind w:left="0" w:leftChars="0" w:firstLine="0" w:firstLineChars="0"/>
              <w:rPr>
                <w:rFonts w:hint="default"/>
                <w:highlight w:val="none"/>
                <w:lang w:val="en-US" w:eastAsia="zh-CN"/>
              </w:rPr>
            </w:pPr>
            <w:r>
              <w:rPr>
                <w:rFonts w:hint="default"/>
                <w:highlight w:val="none"/>
                <w:lang w:val="en-US" w:eastAsia="zh-CN"/>
              </w:rPr>
              <w:t>③、具有履行合同所必需的设备和专业技术能力；</w:t>
            </w:r>
          </w:p>
          <w:p>
            <w:pPr>
              <w:pStyle w:val="2"/>
              <w:ind w:left="0" w:leftChars="0" w:firstLine="0" w:firstLineChars="0"/>
              <w:rPr>
                <w:rFonts w:hint="default"/>
                <w:highlight w:val="none"/>
                <w:lang w:val="en-US" w:eastAsia="zh-CN"/>
              </w:rPr>
            </w:pPr>
            <w:r>
              <w:rPr>
                <w:rFonts w:hint="default"/>
                <w:highlight w:val="none"/>
                <w:lang w:val="en-US" w:eastAsia="zh-CN"/>
              </w:rPr>
              <w:t>④、有依法缴纳税收和社会保障资金的良好记录；</w:t>
            </w:r>
          </w:p>
          <w:p>
            <w:pPr>
              <w:pStyle w:val="2"/>
              <w:ind w:left="0" w:leftChars="0" w:firstLine="0" w:firstLineChars="0"/>
              <w:rPr>
                <w:rFonts w:hint="default"/>
                <w:highlight w:val="none"/>
                <w:lang w:val="en-US" w:eastAsia="zh-CN"/>
              </w:rPr>
            </w:pPr>
            <w:r>
              <w:rPr>
                <w:rFonts w:hint="default"/>
                <w:highlight w:val="none"/>
                <w:lang w:val="en-US" w:eastAsia="zh-CN"/>
              </w:rPr>
              <w:t>⑤、参加本次采购活动前三年内，在经营活动中没有重大违法记录；</w:t>
            </w:r>
          </w:p>
          <w:p>
            <w:pPr>
              <w:pStyle w:val="2"/>
              <w:ind w:left="0" w:leftChars="0" w:firstLine="0" w:firstLineChars="0"/>
              <w:rPr>
                <w:rFonts w:hint="default"/>
                <w:highlight w:val="none"/>
                <w:lang w:val="en-US" w:eastAsia="zh-CN"/>
              </w:rPr>
            </w:pPr>
            <w:r>
              <w:rPr>
                <w:rFonts w:hint="default"/>
                <w:highlight w:val="none"/>
                <w:lang w:val="en-US" w:eastAsia="zh-CN"/>
              </w:rPr>
              <w:t>⑥、符合国家法律、行政法规规定的其他条件。</w:t>
            </w:r>
          </w:p>
          <w:p>
            <w:pPr>
              <w:pStyle w:val="5"/>
              <w:ind w:left="0" w:leftChars="0" w:firstLine="0" w:firstLineChars="0"/>
              <w:rPr>
                <w:rFonts w:hint="default" w:ascii="宋体" w:hAnsi="宋体" w:eastAsia="宋体" w:cs="宋体"/>
                <w:color w:val="000000"/>
                <w:kern w:val="0"/>
                <w:szCs w:val="21"/>
                <w:highlight w:val="none"/>
                <w:lang w:val="en-US" w:eastAsia="zh-CN"/>
              </w:rPr>
            </w:pPr>
            <w:r>
              <w:rPr>
                <w:rFonts w:hint="default"/>
                <w:b/>
                <w:bCs/>
                <w:highlight w:val="none"/>
                <w:lang w:val="en-US" w:eastAsia="zh-CN"/>
              </w:rPr>
              <w:t>提供《投标人资格承诺函》及营业执照，并加盖公章。</w:t>
            </w:r>
          </w:p>
        </w:tc>
      </w:tr>
      <w:tr>
        <w:tblPrEx>
          <w:tblLayout w:type="fixed"/>
          <w:tblCellMar>
            <w:top w:w="0" w:type="dxa"/>
            <w:left w:w="108" w:type="dxa"/>
            <w:bottom w:w="0" w:type="dxa"/>
            <w:right w:w="108" w:type="dxa"/>
          </w:tblCellMar>
        </w:tblPrEx>
        <w:trPr>
          <w:trHeight w:val="1011" w:hRule="atLeast"/>
        </w:trPr>
        <w:tc>
          <w:tcPr>
            <w:tcW w:w="4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4</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lang w:val="en-US" w:eastAsia="zh-CN"/>
              </w:rPr>
              <w:t>特定资格条件</w:t>
            </w:r>
          </w:p>
        </w:tc>
        <w:tc>
          <w:tcPr>
            <w:tcW w:w="5284"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（1）需在中国政府采购网或黑龙江省政府采购网代理机构名录中登记；提供网页截图，并加盖公章。</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（2）不少于5名熟悉政府采购法律法规、具备编制采购文件和组织采购活动等相应能力的专职从业人员；提供人员在本企业缴纳的养老保险证明；</w:t>
            </w:r>
          </w:p>
        </w:tc>
      </w:tr>
      <w:tr>
        <w:tblPrEx>
          <w:tblLayout w:type="fixed"/>
          <w:tblCellMar>
            <w:top w:w="0" w:type="dxa"/>
            <w:left w:w="108" w:type="dxa"/>
            <w:bottom w:w="0" w:type="dxa"/>
            <w:right w:w="108" w:type="dxa"/>
          </w:tblCellMar>
        </w:tblPrEx>
        <w:trPr>
          <w:trHeight w:val="842" w:hRule="atLeast"/>
        </w:trPr>
        <w:tc>
          <w:tcPr>
            <w:tcW w:w="438"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color w:val="000000"/>
                <w:kern w:val="0"/>
                <w:szCs w:val="21"/>
              </w:rPr>
            </w:pPr>
          </w:p>
          <w:p>
            <w:pPr>
              <w:widowControl/>
              <w:jc w:val="center"/>
              <w:rPr>
                <w:rFonts w:hint="eastAsia" w:ascii="宋体" w:hAnsi="宋体" w:eastAsia="宋体" w:cs="宋体"/>
                <w:kern w:val="0"/>
                <w:szCs w:val="21"/>
                <w:lang w:eastAsia="zh-CN"/>
              </w:rPr>
            </w:pPr>
            <w:r>
              <w:rPr>
                <w:rFonts w:hint="eastAsia" w:ascii="宋体" w:hAnsi="宋体" w:cs="宋体"/>
                <w:color w:val="000000"/>
                <w:kern w:val="0"/>
                <w:szCs w:val="21"/>
                <w:lang w:val="en-US" w:eastAsia="zh-CN"/>
              </w:rPr>
              <w:t>5</w:t>
            </w:r>
          </w:p>
        </w:tc>
        <w:tc>
          <w:tcPr>
            <w:tcW w:w="33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cs="宋体"/>
                <w:color w:val="000000"/>
                <w:kern w:val="0"/>
                <w:szCs w:val="21"/>
              </w:rPr>
              <w:t>信用等级</w:t>
            </w:r>
          </w:p>
        </w:tc>
        <w:tc>
          <w:tcPr>
            <w:tcW w:w="5284" w:type="dxa"/>
            <w:tcBorders>
              <w:top w:val="nil"/>
              <w:left w:val="nil"/>
              <w:bottom w:val="single" w:color="auto" w:sz="4" w:space="0"/>
              <w:right w:val="single" w:color="auto" w:sz="4" w:space="0"/>
            </w:tcBorders>
            <w:shd w:val="clear" w:color="auto" w:fill="auto"/>
            <w:vAlign w:val="center"/>
          </w:tcPr>
          <w:p>
            <w:pPr>
              <w:widowControl/>
              <w:rPr>
                <w:rFonts w:hint="default" w:ascii="宋体" w:hAnsi="宋体" w:cs="宋体"/>
                <w:kern w:val="0"/>
                <w:szCs w:val="21"/>
                <w:lang w:val="en-US"/>
              </w:rPr>
            </w:pPr>
            <w:r>
              <w:rPr>
                <w:rFonts w:hint="eastAsia" w:ascii="宋体" w:hAnsi="宋体" w:cs="宋体"/>
                <w:color w:val="000000"/>
                <w:kern w:val="0"/>
                <w:szCs w:val="21"/>
                <w:highlight w:val="none"/>
              </w:rPr>
              <w:t>投标人未被列入失信被执行人、重大税收违法案件当事人名单、政府采购严重违法失信行为记录名单。（以通过查询“信用中国” 网站和“ 中国政府采购网” 网站的信用记录内容为准。）</w:t>
            </w:r>
          </w:p>
        </w:tc>
      </w:tr>
      <w:tr>
        <w:tblPrEx>
          <w:tblLayout w:type="fixed"/>
          <w:tblCellMar>
            <w:top w:w="0" w:type="dxa"/>
            <w:left w:w="108" w:type="dxa"/>
            <w:bottom w:w="0" w:type="dxa"/>
            <w:right w:w="108" w:type="dxa"/>
          </w:tblCellMar>
        </w:tblPrEx>
        <w:trPr>
          <w:trHeight w:val="660" w:hRule="atLeast"/>
        </w:trPr>
        <w:tc>
          <w:tcPr>
            <w:tcW w:w="438" w:type="dxa"/>
            <w:tcBorders>
              <w:top w:val="nil"/>
              <w:left w:val="single" w:color="auto" w:sz="4" w:space="0"/>
              <w:bottom w:val="single" w:color="auto" w:sz="4" w:space="0"/>
              <w:right w:val="single" w:color="auto" w:sz="4" w:space="0"/>
            </w:tcBorders>
            <w:vAlign w:val="top"/>
          </w:tcPr>
          <w:p>
            <w:pPr>
              <w:widowControl/>
              <w:jc w:val="center"/>
              <w:rPr>
                <w:rFonts w:ascii="宋体" w:hAnsi="宋体" w:cs="宋体"/>
                <w:kern w:val="0"/>
                <w:szCs w:val="21"/>
              </w:rPr>
            </w:pPr>
          </w:p>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33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lang w:val="en-US" w:eastAsia="zh-CN"/>
              </w:rPr>
              <w:t>服务期限</w:t>
            </w:r>
          </w:p>
        </w:tc>
        <w:tc>
          <w:tcPr>
            <w:tcW w:w="5284" w:type="dxa"/>
            <w:tcBorders>
              <w:top w:val="nil"/>
              <w:left w:val="nil"/>
              <w:bottom w:val="single" w:color="auto" w:sz="4" w:space="0"/>
              <w:right w:val="single" w:color="auto" w:sz="4" w:space="0"/>
            </w:tcBorders>
            <w:shd w:val="clear" w:color="auto" w:fill="auto"/>
            <w:vAlign w:val="center"/>
          </w:tcPr>
          <w:p>
            <w:pPr>
              <w:widowControl/>
              <w:rPr>
                <w:rFonts w:hint="default" w:ascii="宋体" w:hAnsi="宋体" w:eastAsia="宋体" w:cs="宋体"/>
                <w:kern w:val="0"/>
                <w:szCs w:val="21"/>
                <w:lang w:val="en-US" w:eastAsia="zh-CN"/>
              </w:rPr>
            </w:pPr>
            <w:r>
              <w:rPr>
                <w:rFonts w:hint="default" w:ascii="宋体" w:hAnsi="宋体" w:cs="宋体"/>
                <w:kern w:val="0"/>
                <w:szCs w:val="21"/>
                <w:lang w:val="en-US"/>
              </w:rPr>
              <w:t>三年。合同一年一签（每一个年度服务期届满前，院方对中标单位服务质量进行综合评价，用以确定是否续签下一年度合同,如综合评价不合格院方不再续签合同，双方合作终止）。</w:t>
            </w:r>
          </w:p>
        </w:tc>
      </w:tr>
      <w:tr>
        <w:tblPrEx>
          <w:tblLayout w:type="fixed"/>
          <w:tblCellMar>
            <w:top w:w="0" w:type="dxa"/>
            <w:left w:w="108" w:type="dxa"/>
            <w:bottom w:w="0" w:type="dxa"/>
            <w:right w:w="108" w:type="dxa"/>
          </w:tblCellMar>
        </w:tblPrEx>
        <w:trPr>
          <w:trHeight w:val="660" w:hRule="atLeast"/>
        </w:trPr>
        <w:tc>
          <w:tcPr>
            <w:tcW w:w="438"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33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lang w:eastAsia="zh-CN"/>
              </w:rPr>
              <w:t>投标</w:t>
            </w:r>
            <w:r>
              <w:rPr>
                <w:rFonts w:hint="eastAsia" w:ascii="宋体" w:hAnsi="宋体" w:cs="宋体"/>
                <w:kern w:val="0"/>
                <w:szCs w:val="21"/>
              </w:rPr>
              <w:t>报价</w:t>
            </w:r>
          </w:p>
        </w:tc>
        <w:tc>
          <w:tcPr>
            <w:tcW w:w="5284" w:type="dxa"/>
            <w:tcBorders>
              <w:top w:val="nil"/>
              <w:left w:val="nil"/>
              <w:bottom w:val="single" w:color="auto" w:sz="4" w:space="0"/>
              <w:right w:val="single" w:color="auto" w:sz="4" w:space="0"/>
            </w:tcBorders>
            <w:shd w:val="clear" w:color="auto" w:fill="auto"/>
            <w:vAlign w:val="center"/>
          </w:tcPr>
          <w:p>
            <w:pPr>
              <w:widowControl/>
              <w:rPr>
                <w:rFonts w:hint="default" w:ascii="宋体" w:hAnsi="宋体" w:eastAsia="宋体" w:cs="宋体"/>
                <w:kern w:val="0"/>
                <w:szCs w:val="21"/>
                <w:lang w:val="en-US" w:eastAsia="zh-CN"/>
              </w:rPr>
            </w:pPr>
            <w:r>
              <w:rPr>
                <w:rFonts w:hint="eastAsia" w:ascii="宋体" w:hAnsi="宋体" w:cs="宋体"/>
                <w:kern w:val="0"/>
                <w:szCs w:val="21"/>
                <w:lang w:val="en-US" w:eastAsia="zh-CN"/>
              </w:rPr>
              <w:t>不高于招标控制价要求</w:t>
            </w:r>
          </w:p>
        </w:tc>
      </w:tr>
    </w:tbl>
    <w:p>
      <w:pPr>
        <w:widowControl/>
        <w:spacing w:line="384" w:lineRule="auto"/>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pPr>
    </w:p>
    <w:p>
      <w:pPr>
        <w:widowControl/>
        <w:spacing w:line="384" w:lineRule="auto"/>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t>八、详细评审标准</w:t>
      </w:r>
    </w:p>
    <w:tbl>
      <w:tblPr>
        <w:tblStyle w:val="12"/>
        <w:tblW w:w="8601" w:type="dxa"/>
        <w:tblCellSpacing w:w="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80"/>
        <w:gridCol w:w="1231"/>
        <w:gridCol w:w="6423"/>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5" w:hRule="atLeast"/>
          <w:tblCellSpacing w:w="15" w:type="dxa"/>
        </w:trPr>
        <w:tc>
          <w:tcPr>
            <w:tcW w:w="335" w:type="dxa"/>
            <w:noWrap w:val="0"/>
            <w:tcMar>
              <w:top w:w="0" w:type="dxa"/>
              <w:left w:w="105" w:type="dxa"/>
              <w:bottom w:w="0" w:type="dxa"/>
              <w:right w:w="105" w:type="dxa"/>
            </w:tcMar>
            <w:vAlign w:val="center"/>
          </w:tcPr>
          <w:p>
            <w:pPr>
              <w:pStyle w:val="3"/>
              <w:rPr>
                <w:rFonts w:hint="eastAsia"/>
                <w:sz w:val="21"/>
                <w:szCs w:val="21"/>
              </w:rPr>
            </w:pPr>
          </w:p>
        </w:tc>
        <w:tc>
          <w:tcPr>
            <w:tcW w:w="1201"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评审内容</w:t>
            </w:r>
          </w:p>
        </w:tc>
        <w:tc>
          <w:tcPr>
            <w:tcW w:w="6393"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评分细则</w:t>
            </w:r>
          </w:p>
        </w:tc>
        <w:tc>
          <w:tcPr>
            <w:tcW w:w="522" w:type="dxa"/>
            <w:noWrap w:val="0"/>
            <w:tcMar>
              <w:top w:w="0" w:type="dxa"/>
              <w:left w:w="105" w:type="dxa"/>
              <w:bottom w:w="0" w:type="dxa"/>
              <w:right w:w="105"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0" w:hRule="atLeast"/>
          <w:tblCellSpacing w:w="15" w:type="dxa"/>
        </w:trPr>
        <w:tc>
          <w:tcPr>
            <w:tcW w:w="335" w:type="dxa"/>
            <w:vMerge w:val="restart"/>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01" w:type="dxa"/>
            <w:vMerge w:val="restart"/>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highlight w:val="none"/>
              </w:rPr>
              <w:t>报价得分</w:t>
            </w:r>
          </w:p>
        </w:tc>
        <w:tc>
          <w:tcPr>
            <w:tcW w:w="6393" w:type="dxa"/>
            <w:noWrap w:val="0"/>
            <w:tcMar>
              <w:top w:w="0" w:type="dxa"/>
              <w:left w:w="105" w:type="dxa"/>
              <w:bottom w:w="0" w:type="dxa"/>
              <w:right w:w="105" w:type="dxa"/>
            </w:tcMar>
            <w:vAlign w:val="center"/>
          </w:tcPr>
          <w:p>
            <w:pPr>
              <w:widowControl/>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spacing w:val="-10"/>
                <w:sz w:val="21"/>
                <w:szCs w:val="21"/>
                <w:highlight w:val="none"/>
                <w:lang w:val="en-US" w:eastAsia="zh-CN"/>
              </w:rPr>
              <w:t>有总预算金额项目：</w:t>
            </w:r>
            <w:r>
              <w:rPr>
                <w:rFonts w:hint="eastAsia" w:ascii="宋体" w:hAnsi="宋体" w:eastAsia="宋体" w:cs="宋体"/>
                <w:spacing w:val="-10"/>
                <w:sz w:val="21"/>
                <w:szCs w:val="21"/>
                <w:highlight w:val="none"/>
              </w:rPr>
              <w:t>报价的分值统一采用低价优先法计算，即满足磋商文件要求且最后报价最低的报价为</w:t>
            </w:r>
            <w:r>
              <w:rPr>
                <w:rFonts w:hint="eastAsia" w:ascii="宋体" w:hAnsi="宋体" w:eastAsia="宋体" w:cs="宋体"/>
                <w:spacing w:val="-10"/>
                <w:sz w:val="21"/>
                <w:szCs w:val="21"/>
                <w:highlight w:val="none"/>
                <w:lang w:eastAsia="zh-CN"/>
              </w:rPr>
              <w:t>评标</w:t>
            </w:r>
            <w:r>
              <w:rPr>
                <w:rFonts w:hint="eastAsia" w:ascii="宋体" w:hAnsi="宋体" w:eastAsia="宋体" w:cs="宋体"/>
                <w:spacing w:val="-10"/>
                <w:sz w:val="21"/>
                <w:szCs w:val="21"/>
                <w:highlight w:val="none"/>
              </w:rPr>
              <w:t>基准价，其价格分为满分。其他入围供应商的最后报价得分统一按照下列公式计算：</w:t>
            </w:r>
            <w:r>
              <w:rPr>
                <w:rFonts w:hint="eastAsia" w:ascii="宋体" w:hAnsi="宋体" w:cs="宋体"/>
                <w:spacing w:val="-10"/>
                <w:sz w:val="21"/>
                <w:szCs w:val="21"/>
                <w:highlight w:val="none"/>
                <w:lang w:val="en-US" w:eastAsia="zh-CN"/>
              </w:rPr>
              <w:t xml:space="preserve"> </w:t>
            </w:r>
          </w:p>
          <w:p>
            <w:pPr>
              <w:widowControl/>
              <w:jc w:val="left"/>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投标报价得分＝（评标基准价/投标报价）×价格权值</w:t>
            </w:r>
          </w:p>
          <w:p>
            <w:pPr>
              <w:widowControl/>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最低报价不是中标的唯一依据。</w:t>
            </w:r>
          </w:p>
          <w:p>
            <w:pPr>
              <w:pStyle w:val="2"/>
              <w:rPr>
                <w:rFonts w:hint="default"/>
                <w:sz w:val="21"/>
                <w:szCs w:val="21"/>
                <w:lang w:val="en-US" w:eastAsia="zh-CN"/>
              </w:rPr>
            </w:pPr>
            <w:r>
              <w:rPr>
                <w:rFonts w:hint="eastAsia" w:ascii="宋体" w:hAnsi="宋体" w:cs="宋体"/>
                <w:b/>
                <w:bCs/>
                <w:i w:val="0"/>
                <w:color w:val="000000"/>
                <w:kern w:val="0"/>
                <w:sz w:val="21"/>
                <w:szCs w:val="21"/>
                <w:highlight w:val="none"/>
                <w:u w:val="none"/>
                <w:lang w:val="en-US" w:eastAsia="zh-CN" w:bidi="ar"/>
              </w:rPr>
              <w:t>注：按费率报价，例：报价1.5%，计算报价得分时记作1.5，1.4%记作1.4；</w:t>
            </w:r>
          </w:p>
        </w:tc>
        <w:tc>
          <w:tcPr>
            <w:tcW w:w="522" w:type="dxa"/>
            <w:noWrap w:val="0"/>
            <w:tcMar>
              <w:top w:w="0" w:type="dxa"/>
              <w:left w:w="105" w:type="dxa"/>
              <w:bottom w:w="0" w:type="dxa"/>
              <w:right w:w="105" w:type="dxa"/>
            </w:tcMar>
            <w:vAlign w:val="center"/>
          </w:tcPr>
          <w:p>
            <w:pPr>
              <w:widowControl/>
              <w:jc w:val="center"/>
              <w:rPr>
                <w:rFonts w:hint="default" w:ascii="宋体" w:hAnsi="宋体" w:eastAsia="宋体" w:cs="宋体"/>
                <w:kern w:val="0"/>
                <w:sz w:val="21"/>
                <w:szCs w:val="21"/>
                <w:lang w:val="en-US"/>
              </w:rPr>
            </w:pPr>
            <w:r>
              <w:rPr>
                <w:rFonts w:hint="eastAsia" w:ascii="宋体" w:hAnsi="宋体" w:cs="宋体"/>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0" w:hRule="atLeast"/>
          <w:tblCellSpacing w:w="15" w:type="dxa"/>
        </w:trPr>
        <w:tc>
          <w:tcPr>
            <w:tcW w:w="335" w:type="dxa"/>
            <w:vMerge w:val="continue"/>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p>
        </w:tc>
        <w:tc>
          <w:tcPr>
            <w:tcW w:w="1201" w:type="dxa"/>
            <w:vMerge w:val="continue"/>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p>
        </w:tc>
        <w:tc>
          <w:tcPr>
            <w:tcW w:w="6393" w:type="dxa"/>
            <w:noWrap w:val="0"/>
            <w:tcMar>
              <w:top w:w="0" w:type="dxa"/>
              <w:left w:w="105" w:type="dxa"/>
              <w:bottom w:w="0" w:type="dxa"/>
              <w:right w:w="105" w:type="dxa"/>
            </w:tcMar>
            <w:vAlign w:val="center"/>
          </w:tcPr>
          <w:p>
            <w:pPr>
              <w:widowControl/>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spacing w:val="-10"/>
                <w:sz w:val="21"/>
                <w:szCs w:val="21"/>
                <w:highlight w:val="none"/>
                <w:lang w:val="en-US" w:eastAsia="zh-CN"/>
              </w:rPr>
              <w:t>无总预算金额项目：</w:t>
            </w:r>
            <w:r>
              <w:rPr>
                <w:rFonts w:hint="eastAsia" w:ascii="宋体" w:hAnsi="宋体" w:eastAsia="宋体" w:cs="宋体"/>
                <w:spacing w:val="-10"/>
                <w:sz w:val="21"/>
                <w:szCs w:val="21"/>
                <w:highlight w:val="none"/>
              </w:rPr>
              <w:t>报价的分值统一采用低价优先法计算，即满足磋商文件要求且最后报价最低的报价为</w:t>
            </w:r>
            <w:r>
              <w:rPr>
                <w:rFonts w:hint="eastAsia" w:ascii="宋体" w:hAnsi="宋体" w:eastAsia="宋体" w:cs="宋体"/>
                <w:spacing w:val="-10"/>
                <w:sz w:val="21"/>
                <w:szCs w:val="21"/>
                <w:highlight w:val="none"/>
                <w:lang w:eastAsia="zh-CN"/>
              </w:rPr>
              <w:t>评标</w:t>
            </w:r>
            <w:r>
              <w:rPr>
                <w:rFonts w:hint="eastAsia" w:ascii="宋体" w:hAnsi="宋体" w:eastAsia="宋体" w:cs="宋体"/>
                <w:spacing w:val="-10"/>
                <w:sz w:val="21"/>
                <w:szCs w:val="21"/>
                <w:highlight w:val="none"/>
              </w:rPr>
              <w:t>基准价，其价格分为满分。其他入围供应商的最后报价得分统一按照下列公式计算：</w:t>
            </w:r>
          </w:p>
          <w:p>
            <w:pPr>
              <w:widowControl/>
              <w:jc w:val="left"/>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投标报价得分＝（评标基准价/投标报价）×价格权值</w:t>
            </w:r>
          </w:p>
          <w:p>
            <w:pPr>
              <w:widowControl/>
              <w:jc w:val="left"/>
              <w:rPr>
                <w:rFonts w:hint="eastAsia" w:ascii="宋体" w:hAnsi="宋体" w:cs="宋体"/>
                <w:b/>
                <w:bCs/>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最低报价不是中标的唯一依据。</w:t>
            </w:r>
          </w:p>
        </w:tc>
        <w:tc>
          <w:tcPr>
            <w:tcW w:w="522" w:type="dxa"/>
            <w:noWrap w:val="0"/>
            <w:tcMar>
              <w:top w:w="0" w:type="dxa"/>
              <w:left w:w="105" w:type="dxa"/>
              <w:bottom w:w="0" w:type="dxa"/>
              <w:right w:w="105" w:type="dxa"/>
            </w:tcMar>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65" w:hRule="atLeast"/>
          <w:tblCellSpacing w:w="15" w:type="dxa"/>
        </w:trPr>
        <w:tc>
          <w:tcPr>
            <w:tcW w:w="335"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1201"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服务方案及质量保证措施 </w:t>
            </w:r>
          </w:p>
        </w:tc>
        <w:tc>
          <w:tcPr>
            <w:tcW w:w="6393" w:type="dxa"/>
            <w:noWrap w:val="0"/>
            <w:tcMar>
              <w:top w:w="0" w:type="dxa"/>
              <w:left w:w="105" w:type="dxa"/>
              <w:bottom w:w="0" w:type="dxa"/>
              <w:right w:w="105" w:type="dxa"/>
            </w:tcMar>
            <w:vAlign w:val="center"/>
          </w:tcPr>
          <w:p>
            <w:pPr>
              <w:widowControl/>
              <w:numPr>
                <w:ilvl w:val="0"/>
                <w:numId w:val="0"/>
              </w:numPr>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针对本项目提供采购代理服务方案及质量保证措施，包括机构设置和人员分工、招标文件编制及审核、公示信息管理、保证开标/评标/答疑等环节的服务质量、质疑投诉管理、财务管理、档案管理、招标各环节的风险及解决措施、遏制围标串标措施等，满分</w:t>
            </w:r>
            <w:r>
              <w:rPr>
                <w:rFonts w:hint="eastAsia" w:ascii="宋体" w:hAnsi="宋体" w:eastAsia="宋体" w:cs="宋体"/>
                <w:kern w:val="0"/>
                <w:sz w:val="21"/>
                <w:szCs w:val="21"/>
                <w:lang w:val="en-US" w:eastAsia="zh-CN"/>
              </w:rPr>
              <w:t>36</w:t>
            </w:r>
            <w:r>
              <w:rPr>
                <w:rFonts w:hint="eastAsia" w:ascii="宋体" w:hAnsi="宋体" w:eastAsia="宋体" w:cs="宋体"/>
                <w:kern w:val="0"/>
                <w:sz w:val="21"/>
                <w:szCs w:val="21"/>
              </w:rPr>
              <w:t>分，每少一项扣</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分，每项</w:t>
            </w:r>
            <w:r>
              <w:rPr>
                <w:rFonts w:hint="eastAsia" w:ascii="宋体" w:hAnsi="宋体" w:cs="宋体"/>
                <w:kern w:val="0"/>
                <w:sz w:val="21"/>
                <w:szCs w:val="21"/>
                <w:lang w:val="en-US" w:eastAsia="zh-CN"/>
              </w:rPr>
              <w:t>每有一处</w:t>
            </w:r>
            <w:r>
              <w:rPr>
                <w:rFonts w:hint="eastAsia" w:ascii="宋体" w:hAnsi="宋体" w:eastAsia="宋体" w:cs="宋体"/>
                <w:kern w:val="0"/>
                <w:sz w:val="21"/>
                <w:szCs w:val="21"/>
              </w:rPr>
              <w:t>缺陷</w:t>
            </w:r>
            <w:r>
              <w:rPr>
                <w:rFonts w:hint="eastAsia" w:ascii="宋体" w:hAnsi="宋体" w:cs="宋体"/>
                <w:kern w:val="0"/>
                <w:sz w:val="21"/>
                <w:szCs w:val="21"/>
                <w:lang w:val="en-US" w:eastAsia="zh-CN"/>
              </w:rPr>
              <w:t>扣1分</w:t>
            </w:r>
            <w:r>
              <w:rPr>
                <w:rFonts w:hint="eastAsia" w:ascii="宋体" w:hAnsi="宋体" w:eastAsia="宋体" w:cs="宋体"/>
                <w:kern w:val="0"/>
                <w:sz w:val="21"/>
                <w:szCs w:val="21"/>
              </w:rPr>
              <w:t xml:space="preserve">（缺陷是指：存在不适用项目实际情况的情形、凭空编造、缺乏可行性、内容前后不一致、前后逻辑错误、涉及的规范及标准错误、地点区域错误) </w:t>
            </w:r>
            <w:r>
              <w:rPr>
                <w:rFonts w:hint="eastAsia" w:ascii="宋体" w:hAnsi="宋体" w:cs="宋体"/>
                <w:kern w:val="0"/>
                <w:sz w:val="21"/>
                <w:szCs w:val="21"/>
                <w:lang w:eastAsia="zh-CN"/>
              </w:rPr>
              <w:t>，</w:t>
            </w:r>
            <w:r>
              <w:rPr>
                <w:rFonts w:hint="eastAsia" w:ascii="宋体" w:hAnsi="宋体" w:cs="宋体"/>
                <w:kern w:val="0"/>
                <w:sz w:val="21"/>
                <w:szCs w:val="21"/>
                <w:lang w:val="en-US" w:eastAsia="zh-CN"/>
              </w:rPr>
              <w:t>不提供不得分；</w:t>
            </w:r>
          </w:p>
        </w:tc>
        <w:tc>
          <w:tcPr>
            <w:tcW w:w="522" w:type="dxa"/>
            <w:noWrap w:val="0"/>
            <w:tcMar>
              <w:top w:w="0" w:type="dxa"/>
              <w:left w:w="105" w:type="dxa"/>
              <w:bottom w:w="0" w:type="dxa"/>
              <w:right w:w="105" w:type="dxa"/>
            </w:tcMar>
            <w:vAlign w:val="center"/>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tblCellSpacing w:w="15" w:type="dxa"/>
        </w:trPr>
        <w:tc>
          <w:tcPr>
            <w:tcW w:w="335"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1201"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招标代理工作的时限保证措施</w:t>
            </w:r>
          </w:p>
        </w:tc>
        <w:tc>
          <w:tcPr>
            <w:tcW w:w="6393" w:type="dxa"/>
            <w:noWrap w:val="0"/>
            <w:tcMar>
              <w:top w:w="0" w:type="dxa"/>
              <w:left w:w="105" w:type="dxa"/>
              <w:bottom w:w="0" w:type="dxa"/>
              <w:right w:w="105" w:type="dxa"/>
            </w:tcMar>
            <w:vAlign w:val="center"/>
          </w:tcPr>
          <w:p>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针对本项目服务需求，制定各环节进度计划，内容包括：①服务工作流程计划；②进度计划安排并明确各环节工作目标；③工作程序衔接、标明准备期限、开始及结束时间等。满分</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分，每少一项扣</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分，每项</w:t>
            </w:r>
            <w:r>
              <w:rPr>
                <w:rFonts w:hint="eastAsia" w:ascii="宋体" w:hAnsi="宋体" w:cs="宋体"/>
                <w:kern w:val="0"/>
                <w:sz w:val="21"/>
                <w:szCs w:val="21"/>
                <w:lang w:val="en-US" w:eastAsia="zh-CN"/>
              </w:rPr>
              <w:t>每有一处</w:t>
            </w:r>
            <w:r>
              <w:rPr>
                <w:rFonts w:hint="eastAsia" w:ascii="宋体" w:hAnsi="宋体" w:eastAsia="宋体" w:cs="宋体"/>
                <w:kern w:val="0"/>
                <w:sz w:val="21"/>
                <w:szCs w:val="21"/>
              </w:rPr>
              <w:t>缺陷</w:t>
            </w:r>
            <w:r>
              <w:rPr>
                <w:rFonts w:hint="eastAsia" w:ascii="宋体" w:hAnsi="宋体" w:cs="宋体"/>
                <w:kern w:val="0"/>
                <w:sz w:val="21"/>
                <w:szCs w:val="21"/>
                <w:lang w:val="en-US" w:eastAsia="zh-CN"/>
              </w:rPr>
              <w:t>扣1分</w:t>
            </w:r>
            <w:r>
              <w:rPr>
                <w:rFonts w:hint="eastAsia" w:ascii="宋体" w:hAnsi="宋体" w:eastAsia="宋体" w:cs="宋体"/>
                <w:kern w:val="0"/>
                <w:sz w:val="21"/>
                <w:szCs w:val="21"/>
              </w:rPr>
              <w:t>（缺陷是指：存在不适用项目实际情况的情形、凭空编造、缺乏可行性、内容前后不一致、前后逻辑错误、涉及的规范及标准错误、地点区域错误）</w:t>
            </w:r>
            <w:r>
              <w:rPr>
                <w:rFonts w:hint="eastAsia" w:ascii="宋体" w:hAnsi="宋体" w:cs="宋体"/>
                <w:kern w:val="0"/>
                <w:sz w:val="21"/>
                <w:szCs w:val="21"/>
                <w:lang w:eastAsia="zh-CN"/>
              </w:rPr>
              <w:t>，</w:t>
            </w:r>
            <w:r>
              <w:rPr>
                <w:rFonts w:hint="eastAsia" w:ascii="宋体" w:hAnsi="宋体" w:cs="宋体"/>
                <w:kern w:val="0"/>
                <w:sz w:val="21"/>
                <w:szCs w:val="21"/>
                <w:lang w:val="en-US" w:eastAsia="zh-CN"/>
              </w:rPr>
              <w:t>不提供不得分；</w:t>
            </w:r>
          </w:p>
        </w:tc>
        <w:tc>
          <w:tcPr>
            <w:tcW w:w="522"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50" w:hRule="atLeast"/>
          <w:tblCellSpacing w:w="15" w:type="dxa"/>
        </w:trPr>
        <w:tc>
          <w:tcPr>
            <w:tcW w:w="335"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1201"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业务能力提升 </w:t>
            </w:r>
          </w:p>
        </w:tc>
        <w:tc>
          <w:tcPr>
            <w:tcW w:w="6393" w:type="dxa"/>
            <w:noWrap w:val="0"/>
            <w:tcMar>
              <w:top w:w="0" w:type="dxa"/>
              <w:left w:w="105" w:type="dxa"/>
              <w:bottom w:w="0" w:type="dxa"/>
              <w:right w:w="105" w:type="dxa"/>
            </w:tcMar>
            <w:vAlign w:val="center"/>
          </w:tcPr>
          <w:p>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具有完善的业务能力提升方案得</w:t>
            </w:r>
            <w:r>
              <w:rPr>
                <w:rFonts w:hint="eastAsia" w:ascii="宋体" w:hAnsi="宋体" w:cs="宋体"/>
                <w:kern w:val="0"/>
                <w:sz w:val="21"/>
                <w:szCs w:val="21"/>
                <w:lang w:val="en-US" w:eastAsia="zh-CN"/>
              </w:rPr>
              <w:t>4</w:t>
            </w:r>
            <w:r>
              <w:rPr>
                <w:rFonts w:hint="eastAsia" w:ascii="宋体" w:hAnsi="宋体" w:eastAsia="宋体" w:cs="宋体"/>
                <w:kern w:val="0"/>
                <w:sz w:val="21"/>
                <w:szCs w:val="21"/>
              </w:rPr>
              <w:t>分，</w:t>
            </w:r>
            <w:r>
              <w:rPr>
                <w:rFonts w:hint="eastAsia" w:ascii="宋体" w:hAnsi="宋体" w:cs="宋体"/>
                <w:kern w:val="0"/>
                <w:sz w:val="21"/>
                <w:szCs w:val="21"/>
                <w:lang w:val="en-US" w:eastAsia="zh-CN"/>
              </w:rPr>
              <w:t>每有一处</w:t>
            </w:r>
            <w:r>
              <w:rPr>
                <w:rFonts w:hint="eastAsia" w:ascii="宋体" w:hAnsi="宋体" w:eastAsia="宋体" w:cs="宋体"/>
                <w:kern w:val="0"/>
                <w:sz w:val="21"/>
                <w:szCs w:val="21"/>
              </w:rPr>
              <w:t>缺陷</w:t>
            </w:r>
            <w:r>
              <w:rPr>
                <w:rFonts w:hint="eastAsia" w:ascii="宋体" w:hAnsi="宋体" w:cs="宋体"/>
                <w:kern w:val="0"/>
                <w:sz w:val="21"/>
                <w:szCs w:val="21"/>
                <w:lang w:val="en-US" w:eastAsia="zh-CN"/>
              </w:rPr>
              <w:t>扣1分</w:t>
            </w:r>
            <w:r>
              <w:rPr>
                <w:rFonts w:hint="eastAsia" w:ascii="宋体" w:hAnsi="宋体" w:eastAsia="宋体" w:cs="宋体"/>
                <w:kern w:val="0"/>
                <w:sz w:val="21"/>
                <w:szCs w:val="21"/>
              </w:rPr>
              <w:t>（缺陷是指：存在不适用项目实际情况的情形、凭空编造、缺乏可行性、内容前后不一致、前后逻辑错误、涉及的规范及标准错误、地点区域错误）</w:t>
            </w:r>
            <w:r>
              <w:rPr>
                <w:rFonts w:hint="eastAsia" w:ascii="宋体" w:hAnsi="宋体" w:cs="宋体"/>
                <w:kern w:val="0"/>
                <w:sz w:val="21"/>
                <w:szCs w:val="21"/>
                <w:lang w:eastAsia="zh-CN"/>
              </w:rPr>
              <w:t>，</w:t>
            </w:r>
            <w:r>
              <w:rPr>
                <w:rFonts w:hint="eastAsia" w:ascii="宋体" w:hAnsi="宋体" w:cs="宋体"/>
                <w:kern w:val="0"/>
                <w:sz w:val="21"/>
                <w:szCs w:val="21"/>
                <w:lang w:val="en-US" w:eastAsia="zh-CN"/>
              </w:rPr>
              <w:t>不提供不得分；</w:t>
            </w:r>
          </w:p>
        </w:tc>
        <w:tc>
          <w:tcPr>
            <w:tcW w:w="522"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335"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5</w:t>
            </w:r>
          </w:p>
        </w:tc>
        <w:tc>
          <w:tcPr>
            <w:tcW w:w="1201"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康洁从业及保密措施</w:t>
            </w:r>
          </w:p>
        </w:tc>
        <w:tc>
          <w:tcPr>
            <w:tcW w:w="6393" w:type="dxa"/>
            <w:noWrap w:val="0"/>
            <w:tcMar>
              <w:top w:w="0" w:type="dxa"/>
              <w:left w:w="105" w:type="dxa"/>
              <w:bottom w:w="0" w:type="dxa"/>
              <w:right w:w="105" w:type="dxa"/>
            </w:tcMar>
            <w:vAlign w:val="center"/>
          </w:tcPr>
          <w:p>
            <w:pPr>
              <w:widowControl/>
              <w:jc w:val="left"/>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供应商针对本项目服务内容，有保证招标服务过程的</w:t>
            </w:r>
            <w:r>
              <w:rPr>
                <w:rFonts w:hint="eastAsia" w:ascii="宋体" w:hAnsi="宋体" w:cs="宋体"/>
                <w:kern w:val="0"/>
                <w:sz w:val="21"/>
                <w:szCs w:val="21"/>
                <w:highlight w:val="none"/>
                <w:lang w:val="en-US" w:eastAsia="zh-CN"/>
              </w:rPr>
              <w:t>从业</w:t>
            </w:r>
            <w:r>
              <w:rPr>
                <w:rFonts w:hint="default" w:ascii="宋体" w:hAnsi="宋体" w:eastAsia="宋体" w:cs="宋体"/>
                <w:kern w:val="0"/>
                <w:sz w:val="21"/>
                <w:szCs w:val="21"/>
                <w:highlight w:val="none"/>
                <w:lang w:val="en-US" w:eastAsia="zh-CN"/>
              </w:rPr>
              <w:t>保密措施得</w:t>
            </w:r>
            <w:r>
              <w:rPr>
                <w:rFonts w:hint="eastAsia" w:ascii="宋体" w:hAnsi="宋体" w:cs="宋体"/>
                <w:kern w:val="0"/>
                <w:sz w:val="21"/>
                <w:szCs w:val="21"/>
                <w:highlight w:val="none"/>
                <w:lang w:val="en-US" w:eastAsia="zh-CN"/>
              </w:rPr>
              <w:t>4</w:t>
            </w:r>
            <w:r>
              <w:rPr>
                <w:rFonts w:hint="default" w:ascii="宋体" w:hAnsi="宋体" w:eastAsia="宋体" w:cs="宋体"/>
                <w:kern w:val="0"/>
                <w:sz w:val="21"/>
                <w:szCs w:val="21"/>
                <w:highlight w:val="none"/>
                <w:lang w:val="en-US" w:eastAsia="zh-CN"/>
              </w:rPr>
              <w:t>分。</w:t>
            </w:r>
            <w:r>
              <w:rPr>
                <w:rFonts w:hint="eastAsia" w:ascii="宋体" w:hAnsi="宋体" w:cs="宋体"/>
                <w:kern w:val="0"/>
                <w:sz w:val="21"/>
                <w:szCs w:val="21"/>
                <w:lang w:val="en-US" w:eastAsia="zh-CN"/>
              </w:rPr>
              <w:t>每有一处</w:t>
            </w:r>
            <w:r>
              <w:rPr>
                <w:rFonts w:hint="eastAsia" w:ascii="宋体" w:hAnsi="宋体" w:eastAsia="宋体" w:cs="宋体"/>
                <w:kern w:val="0"/>
                <w:sz w:val="21"/>
                <w:szCs w:val="21"/>
              </w:rPr>
              <w:t>缺陷</w:t>
            </w:r>
            <w:r>
              <w:rPr>
                <w:rFonts w:hint="eastAsia" w:ascii="宋体" w:hAnsi="宋体" w:cs="宋体"/>
                <w:kern w:val="0"/>
                <w:sz w:val="21"/>
                <w:szCs w:val="21"/>
                <w:lang w:val="en-US" w:eastAsia="zh-CN"/>
              </w:rPr>
              <w:t>扣1分</w:t>
            </w:r>
            <w:r>
              <w:rPr>
                <w:rFonts w:hint="default" w:ascii="宋体" w:hAnsi="宋体" w:eastAsia="宋体" w:cs="宋体"/>
                <w:kern w:val="0"/>
                <w:sz w:val="21"/>
                <w:szCs w:val="21"/>
                <w:highlight w:val="none"/>
                <w:lang w:val="en-US" w:eastAsia="zh-CN"/>
              </w:rPr>
              <w:t>(缺陷是指:存在不造用项目实际情况的情形、凭空</w:t>
            </w:r>
            <w:r>
              <w:rPr>
                <w:rFonts w:hint="eastAsia" w:ascii="宋体" w:hAnsi="宋体" w:eastAsia="宋体" w:cs="宋体"/>
                <w:kern w:val="0"/>
                <w:sz w:val="21"/>
                <w:szCs w:val="21"/>
              </w:rPr>
              <w:t>编</w:t>
            </w:r>
            <w:r>
              <w:rPr>
                <w:rFonts w:hint="default" w:ascii="宋体" w:hAnsi="宋体" w:eastAsia="宋体" w:cs="宋体"/>
                <w:kern w:val="0"/>
                <w:sz w:val="21"/>
                <w:szCs w:val="21"/>
                <w:highlight w:val="none"/>
                <w:lang w:val="en-US" w:eastAsia="zh-CN"/>
              </w:rPr>
              <w:t>造、</w:t>
            </w:r>
            <w:r>
              <w:rPr>
                <w:rFonts w:hint="eastAsia" w:ascii="宋体" w:hAnsi="宋体" w:eastAsia="宋体" w:cs="宋体"/>
                <w:kern w:val="0"/>
                <w:sz w:val="21"/>
                <w:szCs w:val="21"/>
              </w:rPr>
              <w:t>缺</w:t>
            </w:r>
            <w:r>
              <w:rPr>
                <w:rFonts w:hint="default" w:ascii="宋体" w:hAnsi="宋体" w:eastAsia="宋体" w:cs="宋体"/>
                <w:kern w:val="0"/>
                <w:sz w:val="21"/>
                <w:szCs w:val="21"/>
                <w:highlight w:val="none"/>
                <w:lang w:val="en-US" w:eastAsia="zh-CN"/>
              </w:rPr>
              <w:t>乏可行性、内容前后不一致、前后逻辑错误、涉及的规范及标准错误、地点区域错误)</w:t>
            </w:r>
            <w:r>
              <w:rPr>
                <w:rFonts w:hint="eastAsia" w:ascii="宋体" w:hAnsi="宋体" w:cs="宋体"/>
                <w:kern w:val="0"/>
                <w:sz w:val="21"/>
                <w:szCs w:val="21"/>
                <w:highlight w:val="none"/>
                <w:lang w:val="en-US" w:eastAsia="zh-CN"/>
              </w:rPr>
              <w:t>，</w:t>
            </w:r>
            <w:r>
              <w:rPr>
                <w:rFonts w:hint="eastAsia" w:ascii="宋体" w:hAnsi="宋体" w:cs="宋体"/>
                <w:kern w:val="0"/>
                <w:sz w:val="21"/>
                <w:szCs w:val="21"/>
                <w:lang w:val="en-US" w:eastAsia="zh-CN"/>
              </w:rPr>
              <w:t>不提供不得分；</w:t>
            </w:r>
          </w:p>
        </w:tc>
        <w:tc>
          <w:tcPr>
            <w:tcW w:w="522"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335" w:type="dxa"/>
            <w:noWrap w:val="0"/>
            <w:tcMar>
              <w:top w:w="0" w:type="dxa"/>
              <w:left w:w="105" w:type="dxa"/>
              <w:bottom w:w="0" w:type="dxa"/>
              <w:right w:w="105" w:type="dxa"/>
            </w:tcMar>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1201"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拟投入项目组成员</w:t>
            </w:r>
          </w:p>
        </w:tc>
        <w:tc>
          <w:tcPr>
            <w:tcW w:w="6393" w:type="dxa"/>
            <w:noWrap w:val="0"/>
            <w:tcMar>
              <w:top w:w="0" w:type="dxa"/>
              <w:left w:w="105" w:type="dxa"/>
              <w:bottom w:w="0" w:type="dxa"/>
              <w:right w:w="105" w:type="dxa"/>
            </w:tcMar>
            <w:vAlign w:val="center"/>
          </w:tcPr>
          <w:p>
            <w:pPr>
              <w:widowControl/>
              <w:numPr>
                <w:ilvl w:val="0"/>
                <w:numId w:val="0"/>
              </w:numPr>
              <w:jc w:val="left"/>
              <w:rPr>
                <w:rFonts w:hint="eastAsia" w:ascii="宋体" w:hAnsi="宋体" w:cs="宋体"/>
                <w:kern w:val="0"/>
                <w:sz w:val="21"/>
                <w:szCs w:val="21"/>
                <w:highlight w:val="none"/>
                <w:lang w:val="en-US" w:eastAsia="zh-CN"/>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highlight w:val="none"/>
                <w:lang w:val="en-US" w:eastAsia="zh-CN"/>
              </w:rPr>
              <w:t>供应商为采购人拟派专职项目团队，</w:t>
            </w:r>
            <w:r>
              <w:rPr>
                <w:rFonts w:hint="eastAsia" w:ascii="宋体" w:hAnsi="宋体" w:cs="宋体"/>
                <w:color w:val="000000" w:themeColor="text1"/>
                <w:kern w:val="0"/>
                <w:sz w:val="21"/>
                <w:szCs w:val="21"/>
                <w:highlight w:val="none"/>
                <w:lang w:val="en-US" w:eastAsia="zh-CN"/>
                <w14:textFill>
                  <w14:solidFill>
                    <w14:schemeClr w14:val="tx1"/>
                  </w14:solidFill>
                </w14:textFill>
              </w:rPr>
              <w:t>项目团队不小于3人</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kern w:val="0"/>
                <w:sz w:val="21"/>
                <w:szCs w:val="21"/>
                <w:highlight w:val="none"/>
                <w:lang w:val="en-US" w:eastAsia="zh-CN"/>
              </w:rPr>
              <w:t>提供人员身份证、养老保险证明</w:t>
            </w:r>
            <w:r>
              <w:rPr>
                <w:rFonts w:hint="default"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提供的完整得2分，不提供或不完整不得分；</w:t>
            </w:r>
          </w:p>
          <w:p>
            <w:pPr>
              <w:widowControl/>
              <w:numPr>
                <w:ilvl w:val="0"/>
                <w:numId w:val="0"/>
              </w:numPr>
              <w:jc w:val="left"/>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（2）针对本项目提供人员分工方案的得</w:t>
            </w:r>
            <w:r>
              <w:rPr>
                <w:rFonts w:hint="eastAsia" w:ascii="宋体" w:hAnsi="宋体" w:cs="宋体"/>
                <w:kern w:val="0"/>
                <w:sz w:val="21"/>
                <w:szCs w:val="21"/>
                <w:highlight w:val="none"/>
                <w:lang w:val="en-US" w:eastAsia="zh-CN"/>
              </w:rPr>
              <w:t>3</w:t>
            </w:r>
            <w:r>
              <w:rPr>
                <w:rFonts w:hint="default" w:ascii="宋体" w:hAnsi="宋体" w:eastAsia="宋体" w:cs="宋体"/>
                <w:kern w:val="0"/>
                <w:sz w:val="21"/>
                <w:szCs w:val="21"/>
                <w:highlight w:val="none"/>
                <w:lang w:val="en-US" w:eastAsia="zh-CN"/>
              </w:rPr>
              <w:t>分，不够完善合理的扣</w:t>
            </w:r>
            <w:r>
              <w:rPr>
                <w:rFonts w:hint="eastAsia" w:ascii="宋体" w:hAnsi="宋体" w:cs="宋体"/>
                <w:kern w:val="0"/>
                <w:sz w:val="21"/>
                <w:szCs w:val="21"/>
                <w:highlight w:val="none"/>
                <w:lang w:val="en-US" w:eastAsia="zh-CN"/>
              </w:rPr>
              <w:t>0.5</w:t>
            </w:r>
            <w:r>
              <w:rPr>
                <w:rFonts w:hint="default"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2</w:t>
            </w:r>
            <w:r>
              <w:rPr>
                <w:rFonts w:hint="default" w:ascii="宋体" w:hAnsi="宋体" w:eastAsia="宋体" w:cs="宋体"/>
                <w:kern w:val="0"/>
                <w:sz w:val="21"/>
                <w:szCs w:val="21"/>
                <w:highlight w:val="none"/>
                <w:lang w:val="en-US" w:eastAsia="zh-CN"/>
              </w:rPr>
              <w:t>分，不提供不得分。</w:t>
            </w:r>
          </w:p>
          <w:p>
            <w:pPr>
              <w:widowControl/>
              <w:jc w:val="left"/>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（3）针对本项目提供人员培训制度的得</w:t>
            </w:r>
            <w:r>
              <w:rPr>
                <w:rFonts w:hint="eastAsia" w:ascii="宋体" w:hAnsi="宋体" w:cs="宋体"/>
                <w:kern w:val="0"/>
                <w:sz w:val="21"/>
                <w:szCs w:val="21"/>
                <w:highlight w:val="none"/>
                <w:lang w:val="en-US" w:eastAsia="zh-CN"/>
              </w:rPr>
              <w:t>3</w:t>
            </w:r>
            <w:r>
              <w:rPr>
                <w:rFonts w:hint="default" w:ascii="宋体" w:hAnsi="宋体" w:eastAsia="宋体" w:cs="宋体"/>
                <w:kern w:val="0"/>
                <w:sz w:val="21"/>
                <w:szCs w:val="21"/>
                <w:highlight w:val="none"/>
                <w:lang w:val="en-US" w:eastAsia="zh-CN"/>
              </w:rPr>
              <w:t>分，不够完善合理的扣</w:t>
            </w:r>
            <w:r>
              <w:rPr>
                <w:rFonts w:hint="eastAsia" w:ascii="宋体" w:hAnsi="宋体" w:cs="宋体"/>
                <w:kern w:val="0"/>
                <w:sz w:val="21"/>
                <w:szCs w:val="21"/>
                <w:highlight w:val="none"/>
                <w:lang w:val="en-US" w:eastAsia="zh-CN"/>
              </w:rPr>
              <w:t>0.5</w:t>
            </w:r>
            <w:r>
              <w:rPr>
                <w:rFonts w:hint="default"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2</w:t>
            </w:r>
            <w:r>
              <w:rPr>
                <w:rFonts w:hint="default" w:ascii="宋体" w:hAnsi="宋体" w:eastAsia="宋体" w:cs="宋体"/>
                <w:kern w:val="0"/>
                <w:sz w:val="21"/>
                <w:szCs w:val="21"/>
                <w:highlight w:val="none"/>
                <w:lang w:val="en-US" w:eastAsia="zh-CN"/>
              </w:rPr>
              <w:t>分，不提供不得分。</w:t>
            </w:r>
          </w:p>
        </w:tc>
        <w:tc>
          <w:tcPr>
            <w:tcW w:w="522" w:type="dxa"/>
            <w:noWrap w:val="0"/>
            <w:tcMar>
              <w:top w:w="0" w:type="dxa"/>
              <w:left w:w="105" w:type="dxa"/>
              <w:bottom w:w="0" w:type="dxa"/>
              <w:right w:w="105" w:type="dxa"/>
            </w:tcMar>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6" w:hRule="atLeast"/>
          <w:tblCellSpacing w:w="15" w:type="dxa"/>
        </w:trPr>
        <w:tc>
          <w:tcPr>
            <w:tcW w:w="335"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w:t>
            </w:r>
          </w:p>
        </w:tc>
        <w:tc>
          <w:tcPr>
            <w:tcW w:w="1201"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服务承诺</w:t>
            </w:r>
          </w:p>
        </w:tc>
        <w:tc>
          <w:tcPr>
            <w:tcW w:w="6393" w:type="dxa"/>
            <w:noWrap w:val="0"/>
            <w:tcMar>
              <w:top w:w="0" w:type="dxa"/>
              <w:left w:w="105" w:type="dxa"/>
              <w:bottom w:w="0" w:type="dxa"/>
              <w:right w:w="105" w:type="dxa"/>
            </w:tcMar>
            <w:vAlign w:val="center"/>
          </w:tcPr>
          <w:p>
            <w:pPr>
              <w:widowControl/>
              <w:numPr>
                <w:ilvl w:val="0"/>
                <w:numId w:val="0"/>
              </w:numPr>
              <w:jc w:val="left"/>
              <w:rPr>
                <w:rFonts w:hint="eastAsia" w:ascii="宋体" w:hAnsi="宋体" w:eastAsia="宋体" w:cs="宋体"/>
                <w:kern w:val="0"/>
                <w:sz w:val="21"/>
                <w:szCs w:val="21"/>
              </w:rPr>
            </w:pPr>
            <w:r>
              <w:rPr>
                <w:rFonts w:hint="eastAsia" w:ascii="宋体" w:hAnsi="宋体" w:eastAsia="宋体" w:cs="宋体"/>
                <w:kern w:val="0"/>
                <w:sz w:val="21"/>
                <w:szCs w:val="21"/>
              </w:rPr>
              <w:t>1、承诺“招标代理服务过程中，无论项目投资额大小，均积极采取有效措施满足采购人拟招标项目质量要求、时间节点要求等诉求。如因自身原因  导致项目流标、未能及时妥善受理质疑投诉、未满足采购人要求等所造成的损失均</w:t>
            </w:r>
            <w:r>
              <w:rPr>
                <w:rFonts w:hint="eastAsia" w:ascii="宋体" w:hAnsi="宋体" w:cs="宋体"/>
                <w:kern w:val="0"/>
                <w:sz w:val="21"/>
                <w:szCs w:val="21"/>
                <w:lang w:eastAsia="zh-CN"/>
              </w:rPr>
              <w:t>由</w:t>
            </w:r>
            <w:r>
              <w:rPr>
                <w:rFonts w:hint="eastAsia" w:ascii="宋体" w:hAnsi="宋体" w:eastAsia="宋体" w:cs="宋体"/>
                <w:kern w:val="0"/>
                <w:sz w:val="21"/>
                <w:szCs w:val="21"/>
              </w:rPr>
              <w:t>代理机构自行承担” 的得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分，否则不得分。 2、承诺“项目班子人员配备按投标文件执行，如擅自调整项目组织机构人员，采购人有权中止合同” 的得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分，否则不得分。 3、承诺“服从采购人协调与指导，根据项目实际需要尊重采购人意见随时增调其他人员，并在组织机构人员在达不到采购人考核标准时，服从采购人进行相应人员调整的要求或更换为 采购人指定人员”的得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分，否则不得分。4、承诺“在承接项目的全过程中做到公正、公平、公开，做到监督、制止非法围标、串标等行为，并严格按照法律法规和各项规章制度执行” 的得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分，否则不得分。</w:t>
            </w:r>
          </w:p>
        </w:tc>
        <w:tc>
          <w:tcPr>
            <w:tcW w:w="522" w:type="dxa"/>
            <w:noWrap w:val="0"/>
            <w:tcMar>
              <w:top w:w="0" w:type="dxa"/>
              <w:left w:w="105" w:type="dxa"/>
              <w:bottom w:w="0" w:type="dxa"/>
              <w:right w:w="105" w:type="dxa"/>
            </w:tcMar>
            <w:vAlign w:val="center"/>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6" w:hRule="atLeast"/>
          <w:tblCellSpacing w:w="15" w:type="dxa"/>
        </w:trPr>
        <w:tc>
          <w:tcPr>
            <w:tcW w:w="335"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p>
        </w:tc>
        <w:tc>
          <w:tcPr>
            <w:tcW w:w="1201"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业绩</w:t>
            </w:r>
            <w:r>
              <w:rPr>
                <w:rFonts w:hint="eastAsia" w:ascii="宋体" w:hAnsi="宋体" w:eastAsia="宋体" w:cs="宋体"/>
                <w:kern w:val="0"/>
                <w:sz w:val="21"/>
                <w:szCs w:val="21"/>
              </w:rPr>
              <w:t xml:space="preserve"> </w:t>
            </w:r>
          </w:p>
        </w:tc>
        <w:tc>
          <w:tcPr>
            <w:tcW w:w="6393" w:type="dxa"/>
            <w:noWrap w:val="0"/>
            <w:tcMar>
              <w:top w:w="0" w:type="dxa"/>
              <w:left w:w="105" w:type="dxa"/>
              <w:bottom w:w="0" w:type="dxa"/>
              <w:right w:w="105"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供应商提供已完成的（以中标通知书时间为准）</w:t>
            </w:r>
            <w:r>
              <w:rPr>
                <w:rFonts w:hint="eastAsia" w:ascii="宋体" w:hAnsi="宋体" w:eastAsia="宋体" w:cs="宋体"/>
                <w:kern w:val="0"/>
                <w:sz w:val="21"/>
                <w:szCs w:val="21"/>
                <w:lang w:val="en-US" w:eastAsia="zh-CN"/>
              </w:rPr>
              <w:t>政府采购</w:t>
            </w:r>
            <w:r>
              <w:rPr>
                <w:rFonts w:hint="eastAsia" w:ascii="宋体" w:hAnsi="宋体" w:eastAsia="宋体" w:cs="宋体"/>
                <w:kern w:val="0"/>
                <w:sz w:val="21"/>
                <w:szCs w:val="21"/>
              </w:rPr>
              <w:t>代理项目业绩，每提供一份业绩得0.5分，满分</w:t>
            </w:r>
            <w:r>
              <w:rPr>
                <w:rFonts w:hint="eastAsia" w:ascii="宋体" w:hAnsi="宋体" w:cs="宋体"/>
                <w:kern w:val="0"/>
                <w:sz w:val="21"/>
                <w:szCs w:val="21"/>
                <w:lang w:val="en-US" w:eastAsia="zh-CN"/>
              </w:rPr>
              <w:t>4</w:t>
            </w:r>
            <w:r>
              <w:rPr>
                <w:rFonts w:hint="eastAsia" w:ascii="宋体" w:hAnsi="宋体" w:eastAsia="宋体" w:cs="宋体"/>
                <w:kern w:val="0"/>
                <w:sz w:val="21"/>
                <w:szCs w:val="21"/>
              </w:rPr>
              <w:t>分。注:须提供加盖公章的招标代理合同及中标通知书扫描件附于响应文件中，不提供或提供无效不得分(评审时以响应文件中提供的加盖公章的复印件或扫描件为准)。</w:t>
            </w:r>
          </w:p>
        </w:tc>
        <w:tc>
          <w:tcPr>
            <w:tcW w:w="522" w:type="dxa"/>
            <w:noWrap w:val="0"/>
            <w:tcMar>
              <w:top w:w="0" w:type="dxa"/>
              <w:left w:w="105" w:type="dxa"/>
              <w:bottom w:w="0" w:type="dxa"/>
              <w:right w:w="105" w:type="dxa"/>
            </w:tcMar>
            <w:vAlign w:val="center"/>
          </w:tcPr>
          <w:p>
            <w:pPr>
              <w:widowControl/>
              <w:jc w:val="left"/>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6" w:hRule="atLeast"/>
          <w:tblCellSpacing w:w="15" w:type="dxa"/>
        </w:trPr>
        <w:tc>
          <w:tcPr>
            <w:tcW w:w="335" w:type="dxa"/>
            <w:noWrap w:val="0"/>
            <w:tcMar>
              <w:top w:w="0" w:type="dxa"/>
              <w:left w:w="105" w:type="dxa"/>
              <w:bottom w:w="0" w:type="dxa"/>
              <w:right w:w="105" w:type="dxa"/>
            </w:tcMar>
            <w:vAlign w:val="center"/>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1201" w:type="dxa"/>
            <w:noWrap w:val="0"/>
            <w:tcMar>
              <w:top w:w="0" w:type="dxa"/>
              <w:left w:w="105" w:type="dxa"/>
              <w:bottom w:w="0" w:type="dxa"/>
              <w:right w:w="105" w:type="dxa"/>
            </w:tcMar>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营业场所及硬件措施 </w:t>
            </w:r>
          </w:p>
        </w:tc>
        <w:tc>
          <w:tcPr>
            <w:tcW w:w="6393" w:type="dxa"/>
            <w:noWrap w:val="0"/>
            <w:tcMar>
              <w:top w:w="0" w:type="dxa"/>
              <w:left w:w="105" w:type="dxa"/>
              <w:bottom w:w="0" w:type="dxa"/>
              <w:right w:w="105" w:type="dxa"/>
            </w:tcMar>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营业场所包括办公区域、评审区域和开标区域。</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val="zh-CN" w:eastAsia="zh-CN"/>
              </w:rPr>
              <w:t>（1）</w:t>
            </w:r>
            <w:r>
              <w:rPr>
                <w:rFonts w:hint="eastAsia" w:ascii="宋体" w:hAnsi="宋体" w:eastAsia="宋体" w:cs="宋体"/>
                <w:kern w:val="0"/>
                <w:sz w:val="21"/>
                <w:szCs w:val="21"/>
              </w:rPr>
              <w:t>办公区域和开、评标区域在同一固定建筑物内的，得</w:t>
            </w:r>
            <w:r>
              <w:rPr>
                <w:rFonts w:hint="eastAsia" w:ascii="宋体" w:hAnsi="宋体" w:cs="宋体"/>
                <w:kern w:val="0"/>
                <w:sz w:val="21"/>
                <w:szCs w:val="21"/>
                <w:lang w:val="en-US" w:eastAsia="zh-CN"/>
              </w:rPr>
              <w:t>3</w:t>
            </w:r>
            <w:r>
              <w:rPr>
                <w:rFonts w:hint="eastAsia" w:ascii="宋体" w:hAnsi="宋体" w:eastAsia="宋体" w:cs="宋体"/>
                <w:kern w:val="0"/>
                <w:sz w:val="21"/>
                <w:szCs w:val="21"/>
              </w:rPr>
              <w:t>分，不符合要求不得分</w:t>
            </w:r>
            <w:r>
              <w:rPr>
                <w:rFonts w:hint="eastAsia" w:ascii="宋体" w:hAnsi="宋体" w:cs="宋体"/>
                <w:kern w:val="0"/>
                <w:sz w:val="21"/>
                <w:szCs w:val="21"/>
                <w:lang w:eastAsia="zh-CN"/>
              </w:rPr>
              <w:t>。</w:t>
            </w:r>
            <w:r>
              <w:rPr>
                <w:rFonts w:hint="eastAsia" w:ascii="宋体" w:hAnsi="宋体" w:eastAsia="宋体" w:cs="宋体"/>
                <w:kern w:val="0"/>
                <w:sz w:val="21"/>
                <w:szCs w:val="21"/>
              </w:rPr>
              <w:t>（提供房屋产权证书或房屋租赁协议原件，同时响应文件中</w:t>
            </w:r>
            <w:r>
              <w:rPr>
                <w:rFonts w:hint="eastAsia" w:ascii="宋体" w:hAnsi="宋体" w:eastAsia="宋体" w:cs="宋体"/>
                <w:kern w:val="0"/>
                <w:sz w:val="21"/>
                <w:szCs w:val="21"/>
                <w:lang w:val="en-US" w:eastAsia="zh-CN"/>
              </w:rPr>
              <w:t>提供实景彩色照片</w:t>
            </w:r>
            <w:r>
              <w:rPr>
                <w:rFonts w:hint="eastAsia" w:ascii="宋体" w:hAnsi="宋体" w:eastAsia="宋体" w:cs="宋体"/>
                <w:kern w:val="0"/>
                <w:sz w:val="21"/>
                <w:szCs w:val="21"/>
              </w:rPr>
              <w:t>及</w:t>
            </w:r>
            <w:r>
              <w:rPr>
                <w:rFonts w:hint="eastAsia" w:ascii="宋体" w:hAnsi="宋体" w:cs="宋体"/>
                <w:kern w:val="0"/>
                <w:sz w:val="21"/>
                <w:szCs w:val="21"/>
                <w:lang w:val="en-US" w:eastAsia="zh-CN"/>
              </w:rPr>
              <w:t>场地</w:t>
            </w:r>
            <w:r>
              <w:rPr>
                <w:rFonts w:hint="eastAsia" w:ascii="宋体" w:hAnsi="宋体" w:eastAsia="宋体" w:cs="宋体"/>
                <w:kern w:val="0"/>
                <w:sz w:val="21"/>
                <w:szCs w:val="21"/>
              </w:rPr>
              <w:t>承诺书</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格式自拟</w:t>
            </w:r>
            <w:r>
              <w:rPr>
                <w:rFonts w:hint="eastAsia" w:ascii="宋体" w:hAnsi="宋体" w:cs="宋体"/>
                <w:kern w:val="0"/>
                <w:sz w:val="21"/>
                <w:szCs w:val="21"/>
                <w:lang w:eastAsia="zh-CN"/>
              </w:rPr>
              <w:t>）</w:t>
            </w:r>
            <w:r>
              <w:rPr>
                <w:rFonts w:hint="eastAsia" w:ascii="宋体" w:hAnsi="宋体" w:eastAsia="宋体" w:cs="宋体"/>
                <w:kern w:val="0"/>
                <w:sz w:val="21"/>
                <w:szCs w:val="21"/>
              </w:rPr>
              <w:t>，否则不得分）。</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val="zh-CN" w:eastAsia="zh-CN"/>
              </w:rPr>
              <w:t>（2）</w:t>
            </w:r>
            <w:r>
              <w:rPr>
                <w:rFonts w:hint="eastAsia" w:ascii="宋体" w:hAnsi="宋体" w:eastAsia="宋体" w:cs="宋体"/>
                <w:kern w:val="0"/>
                <w:sz w:val="21"/>
                <w:szCs w:val="21"/>
              </w:rPr>
              <w:t>有一个独立专用并安装声像监控设施的评审室</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评审室配备不少于5台计算机，具备一个</w:t>
            </w:r>
            <w:r>
              <w:rPr>
                <w:rFonts w:hint="eastAsia" w:ascii="宋体" w:hAnsi="宋体" w:eastAsia="宋体" w:cs="宋体"/>
                <w:kern w:val="0"/>
                <w:sz w:val="21"/>
                <w:szCs w:val="21"/>
              </w:rPr>
              <w:t>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val="en-US" w:eastAsia="zh-CN"/>
              </w:rPr>
              <w:t>最多得3分；</w:t>
            </w:r>
            <w:r>
              <w:rPr>
                <w:rFonts w:hint="eastAsia" w:ascii="宋体" w:hAnsi="宋体" w:eastAsia="宋体" w:cs="宋体"/>
                <w:kern w:val="0"/>
                <w:sz w:val="21"/>
                <w:szCs w:val="21"/>
              </w:rPr>
              <w:t>无办公桌椅</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声像监控设施</w:t>
            </w:r>
            <w:r>
              <w:rPr>
                <w:rFonts w:hint="eastAsia" w:ascii="宋体" w:hAnsi="宋体" w:eastAsia="宋体" w:cs="宋体"/>
                <w:kern w:val="0"/>
                <w:sz w:val="21"/>
                <w:szCs w:val="21"/>
                <w:lang w:val="en-US" w:eastAsia="zh-CN"/>
              </w:rPr>
              <w:t>及计算机</w:t>
            </w:r>
            <w:r>
              <w:rPr>
                <w:rFonts w:hint="eastAsia" w:ascii="宋体" w:hAnsi="宋体" w:eastAsia="宋体" w:cs="宋体"/>
                <w:kern w:val="0"/>
                <w:sz w:val="21"/>
                <w:szCs w:val="21"/>
              </w:rPr>
              <w:t>的不得分。</w:t>
            </w:r>
            <w:r>
              <w:rPr>
                <w:rFonts w:hint="eastAsia" w:ascii="宋体" w:hAnsi="宋体" w:eastAsia="宋体" w:cs="宋体"/>
                <w:kern w:val="0"/>
                <w:sz w:val="21"/>
                <w:szCs w:val="21"/>
                <w:lang w:val="en-US" w:eastAsia="zh-CN"/>
              </w:rPr>
              <w:t>提供实景彩色照片</w:t>
            </w:r>
          </w:p>
          <w:p>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（3）具有一个独立专用并安装声像监控设施的开标室得</w:t>
            </w: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分，无声像监控设施的本项不得分。提供实景彩色照片;</w:t>
            </w:r>
          </w:p>
          <w:p>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（4）提供独立的评标监察室，保证监察人员可同步观看评审音频及影像；得</w:t>
            </w: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分</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提供实景彩色照片;</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注：上述营业场所不包括居民住宅，提供居民住宅作为营业场所的，报价无效。</w:t>
            </w:r>
          </w:p>
        </w:tc>
        <w:tc>
          <w:tcPr>
            <w:tcW w:w="522" w:type="dxa"/>
            <w:noWrap w:val="0"/>
            <w:tcMar>
              <w:top w:w="0" w:type="dxa"/>
              <w:left w:w="105" w:type="dxa"/>
              <w:bottom w:w="0" w:type="dxa"/>
              <w:right w:w="105" w:type="dxa"/>
            </w:tcMar>
            <w:vAlign w:val="center"/>
          </w:tcPr>
          <w:p>
            <w:pPr>
              <w:widowControl/>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8</w:t>
            </w:r>
          </w:p>
        </w:tc>
      </w:tr>
    </w:tbl>
    <w:p>
      <w:pPr>
        <w:pStyle w:val="9"/>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lang w:eastAsia="zh-CN"/>
        </w:rPr>
        <w:t>九</w:t>
      </w:r>
      <w:r>
        <w:rPr>
          <w:rFonts w:hint="eastAsia" w:asciiTheme="minorEastAsia" w:hAnsiTheme="minorEastAsia" w:eastAsiaTheme="minorEastAsia"/>
          <w:b/>
          <w:bCs/>
        </w:rPr>
        <w:t>、</w:t>
      </w:r>
      <w:r>
        <w:rPr>
          <w:rFonts w:hint="eastAsia"/>
          <w:b/>
          <w:bCs/>
        </w:rPr>
        <w:t>资格要求：</w:t>
      </w:r>
    </w:p>
    <w:p>
      <w:pPr>
        <w:pStyle w:val="9"/>
        <w:spacing w:before="0" w:beforeAutospacing="0" w:after="0" w:afterAutospacing="0" w:line="360"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9"/>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9"/>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pStyle w:val="9"/>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lang w:eastAsia="zh-CN"/>
          <w14:textFill>
            <w14:solidFill>
              <w14:schemeClr w14:val="tx1"/>
            </w14:solidFill>
          </w14:textFill>
        </w:rPr>
        <w:t>十</w:t>
      </w:r>
      <w:r>
        <w:rPr>
          <w:rFonts w:hint="eastAsia" w:asciiTheme="minorEastAsia" w:hAnsiTheme="minorEastAsia" w:eastAsiaTheme="minorEastAsia"/>
          <w:b/>
          <w:bCs/>
          <w:color w:val="000000" w:themeColor="text1"/>
          <w14:textFill>
            <w14:solidFill>
              <w14:schemeClr w14:val="tx1"/>
            </w14:solidFill>
          </w14:textFill>
        </w:rPr>
        <w:t>、报名时间及地点</w:t>
      </w:r>
    </w:p>
    <w:p>
      <w:pPr>
        <w:pStyle w:val="9"/>
        <w:spacing w:before="0" w:beforeAutospacing="0" w:after="0" w:afterAutospacing="0" w:line="480" w:lineRule="exact"/>
        <w:rPr>
          <w:rFonts w:hint="eastAsia" w:eastAsia="宋体" w:asciiTheme="minorEastAsia" w:hAnsiTheme="minorEastAsia"/>
          <w:lang w:eastAsia="zh-CN"/>
        </w:rPr>
      </w:pPr>
      <w:r>
        <w:rPr>
          <w:rFonts w:hint="eastAsia" w:asciiTheme="minorEastAsia" w:hAnsiTheme="minorEastAsia" w:eastAsiaTheme="minorEastAsia"/>
        </w:rPr>
        <w:t>投标人于202</w:t>
      </w:r>
      <w:r>
        <w:rPr>
          <w:rFonts w:hint="eastAsia" w:asciiTheme="minorEastAsia" w:hAnsiTheme="minorEastAsia" w:eastAsiaTheme="minorEastAsia"/>
          <w:lang w:val="en-US" w:eastAsia="zh-CN"/>
        </w:rPr>
        <w:t>5</w:t>
      </w:r>
      <w:r>
        <w:rPr>
          <w:rFonts w:hint="eastAsia" w:asciiTheme="minorEastAsia" w:hAnsiTheme="minorEastAsia" w:eastAsiaTheme="minorEastAsia"/>
        </w:rPr>
        <w:t>年</w:t>
      </w:r>
      <w:r>
        <w:rPr>
          <w:rFonts w:hint="eastAsia" w:asciiTheme="minorEastAsia" w:hAnsiTheme="minorEastAsia" w:eastAsiaTheme="minorEastAsia"/>
          <w:lang w:val="en-US" w:eastAsia="zh-CN"/>
        </w:rPr>
        <w:t>11</w:t>
      </w:r>
      <w:r>
        <w:rPr>
          <w:rFonts w:hint="eastAsia" w:asciiTheme="minorEastAsia" w:hAnsiTheme="minorEastAsia" w:eastAsiaTheme="minorEastAsia"/>
        </w:rPr>
        <w:t>月</w:t>
      </w:r>
      <w:r>
        <w:rPr>
          <w:rFonts w:hint="eastAsia" w:asciiTheme="minorEastAsia" w:hAnsiTheme="minorEastAsia" w:eastAsiaTheme="minorEastAsia"/>
          <w:lang w:val="en-US" w:eastAsia="zh-CN"/>
        </w:rPr>
        <w:t>5</w:t>
      </w:r>
      <w:r>
        <w:rPr>
          <w:rFonts w:hint="eastAsia" w:asciiTheme="minorEastAsia" w:hAnsiTheme="minorEastAsia" w:eastAsiaTheme="minorEastAsia"/>
        </w:rPr>
        <w:t>日16时前到</w:t>
      </w:r>
      <w:r>
        <w:rPr>
          <w:rFonts w:hint="eastAsia" w:asciiTheme="minorEastAsia" w:hAnsiTheme="minorEastAsia"/>
        </w:rPr>
        <w:t>大庆市第五医院二部机关楼一楼109室递交</w:t>
      </w:r>
      <w:r>
        <w:rPr>
          <w:rFonts w:hint="eastAsia" w:asciiTheme="minorEastAsia" w:hAnsiTheme="minorEastAsia"/>
          <w:lang w:eastAsia="zh-CN"/>
        </w:rPr>
        <w:t>公司资质原件报名。</w:t>
      </w:r>
    </w:p>
    <w:p>
      <w:pPr>
        <w:pStyle w:val="9"/>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pPr>
        <w:pStyle w:val="9"/>
        <w:spacing w:before="0" w:beforeAutospacing="0" w:after="0" w:afterAutospacing="0" w:line="480" w:lineRule="exact"/>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9"/>
        <w:spacing w:before="0" w:beforeAutospacing="0" w:after="0" w:afterAutospacing="0" w:line="480" w:lineRule="exact"/>
        <w:rPr>
          <w:rFonts w:asciiTheme="minorEastAsia" w:hAnsiTheme="minorEastAsia" w:eastAsiaTheme="minorEastAsia"/>
          <w:b/>
          <w:bCs/>
        </w:rPr>
      </w:pPr>
      <w:r>
        <w:rPr>
          <w:rFonts w:hint="eastAsia" w:asciiTheme="minorEastAsia" w:hAnsiTheme="minorEastAsia" w:eastAsiaTheme="minorEastAsia"/>
          <w:b/>
          <w:lang w:eastAsia="zh-CN"/>
        </w:rPr>
        <w:t>十一、</w:t>
      </w:r>
      <w:r>
        <w:rPr>
          <w:rFonts w:hint="eastAsia" w:asciiTheme="minorEastAsia" w:hAnsiTheme="minorEastAsia" w:eastAsiaTheme="minorEastAsia"/>
          <w:b/>
          <w:bCs/>
        </w:rPr>
        <w:t>投标文件格式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2、投标文件：正本一份，副本四份。（正本彩印,副本提供复印件加盖骑缝章）</w:t>
      </w:r>
      <w:r>
        <w:rPr>
          <w:rFonts w:hint="eastAsia" w:asciiTheme="minorEastAsia" w:hAnsiTheme="minorEastAsia" w:eastAsiaTheme="minorEastAsia"/>
          <w:sz w:val="24"/>
          <w:lang w:val="en-US" w:eastAsia="zh-CN"/>
        </w:rPr>
        <w:t>递交响应文件的同时，参标的服务商要同时递交相关资质原件，以备现场评委初审使用。</w:t>
      </w:r>
    </w:p>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3、标书封面须有以下内容</w:t>
      </w:r>
    </w:p>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w:t>
      </w:r>
      <w:r>
        <w:rPr>
          <w:rFonts w:hint="eastAsia" w:cs="仿宋" w:asciiTheme="minorEastAsia" w:hAnsiTheme="minorEastAsia" w:eastAsiaTheme="minorEastAsia"/>
          <w:b/>
          <w:sz w:val="24"/>
          <w:lang w:eastAsia="zh-CN"/>
        </w:rPr>
        <w:t>二</w:t>
      </w:r>
      <w:r>
        <w:rPr>
          <w:rFonts w:hint="eastAsia" w:cs="仿宋" w:asciiTheme="minorEastAsia" w:hAnsiTheme="minorEastAsia" w:eastAsiaTheme="minorEastAsia"/>
          <w:b/>
          <w:sz w:val="24"/>
        </w:rPr>
        <w:t>、投标文件包含项目</w:t>
      </w:r>
    </w:p>
    <w:tbl>
      <w:tblPr>
        <w:tblStyle w:val="12"/>
        <w:tblW w:w="8237" w:type="dxa"/>
        <w:tblInd w:w="-93" w:type="dxa"/>
        <w:tblLayout w:type="fixed"/>
        <w:tblCellMar>
          <w:top w:w="0" w:type="dxa"/>
          <w:left w:w="0" w:type="dxa"/>
          <w:bottom w:w="0" w:type="dxa"/>
          <w:right w:w="0" w:type="dxa"/>
        </w:tblCellMar>
      </w:tblPr>
      <w:tblGrid>
        <w:gridCol w:w="817"/>
        <w:gridCol w:w="1601"/>
        <w:gridCol w:w="5819"/>
      </w:tblGrid>
      <w:tr>
        <w:tblPrEx>
          <w:tblLayout w:type="fixed"/>
          <w:tblCellMar>
            <w:top w:w="0" w:type="dxa"/>
            <w:left w:w="0" w:type="dxa"/>
            <w:bottom w:w="0" w:type="dxa"/>
            <w:right w:w="0" w:type="dxa"/>
          </w:tblCellMar>
        </w:tblPrEx>
        <w:trPr>
          <w:trHeight w:val="404"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ascii="宋体" w:hAnsi="宋体" w:cs="宋体"/>
                <w:b/>
                <w:color w:val="000000"/>
                <w:sz w:val="24"/>
              </w:rPr>
            </w:pPr>
            <w:r>
              <w:rPr>
                <w:rFonts w:hint="eastAsia" w:ascii="宋体" w:hAnsi="宋体" w:cs="宋体"/>
                <w:b/>
                <w:color w:val="000000"/>
                <w:sz w:val="24"/>
              </w:rPr>
              <w:t>序号</w:t>
            </w:r>
          </w:p>
        </w:tc>
        <w:tc>
          <w:tcPr>
            <w:tcW w:w="16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ascii="宋体" w:hAnsi="宋体" w:cs="华文仿宋"/>
                <w:b/>
                <w:color w:val="000000"/>
                <w:sz w:val="24"/>
              </w:rPr>
            </w:pPr>
            <w:r>
              <w:rPr>
                <w:rFonts w:hint="eastAsia" w:ascii="宋体" w:hAnsi="宋体" w:cs="华文仿宋"/>
                <w:b/>
                <w:color w:val="000000"/>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ascii="宋体" w:hAnsi="宋体" w:cs="华文仿宋"/>
                <w:b/>
                <w:color w:val="000000"/>
                <w:sz w:val="24"/>
              </w:rPr>
            </w:pPr>
            <w:r>
              <w:rPr>
                <w:rFonts w:hint="eastAsia" w:ascii="宋体" w:hAnsi="宋体" w:cs="华文仿宋"/>
                <w:b/>
                <w:color w:val="000000"/>
                <w:kern w:val="0"/>
                <w:sz w:val="24"/>
              </w:rPr>
              <w:t>包含项目</w:t>
            </w:r>
          </w:p>
        </w:tc>
      </w:tr>
      <w:tr>
        <w:tblPrEx>
          <w:tblLayout w:type="fixed"/>
          <w:tblCellMar>
            <w:top w:w="0" w:type="dxa"/>
            <w:left w:w="0" w:type="dxa"/>
            <w:bottom w:w="0" w:type="dxa"/>
            <w:right w:w="0" w:type="dxa"/>
          </w:tblCellMar>
        </w:tblPrEx>
        <w:trPr>
          <w:trHeight w:val="364"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ascii="宋体" w:hAnsi="宋体" w:cs="宋体"/>
                <w:color w:val="000000"/>
                <w:kern w:val="0"/>
                <w:sz w:val="24"/>
              </w:rPr>
            </w:pPr>
            <w:r>
              <w:rPr>
                <w:rFonts w:hint="eastAsia" w:ascii="宋体" w:hAnsi="宋体" w:cs="宋体"/>
                <w:color w:val="000000"/>
                <w:kern w:val="0"/>
                <w:sz w:val="24"/>
              </w:rPr>
              <w:t>1</w:t>
            </w:r>
          </w:p>
        </w:tc>
        <w:tc>
          <w:tcPr>
            <w:tcW w:w="7420" w:type="dxa"/>
            <w:gridSpan w:val="2"/>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left"/>
              <w:textAlignment w:val="bottom"/>
              <w:rPr>
                <w:rFonts w:ascii="宋体" w:hAnsi="宋体" w:cs="华文仿宋"/>
                <w:color w:val="000000"/>
                <w:kern w:val="0"/>
                <w:sz w:val="24"/>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rPr>
              <w:t>承诺函</w:t>
            </w:r>
          </w:p>
        </w:tc>
      </w:tr>
      <w:tr>
        <w:tblPrEx>
          <w:tblLayout w:type="fixed"/>
          <w:tblCellMar>
            <w:top w:w="0" w:type="dxa"/>
            <w:left w:w="0" w:type="dxa"/>
            <w:bottom w:w="0" w:type="dxa"/>
            <w:right w:w="0" w:type="dxa"/>
          </w:tblCellMar>
        </w:tblPrEx>
        <w:trPr>
          <w:trHeight w:val="249"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ascii="宋体" w:hAnsi="宋体"/>
              </w:rPr>
            </w:pPr>
            <w:r>
              <w:rPr>
                <w:rFonts w:hint="eastAsia" w:ascii="宋体" w:hAnsi="宋体"/>
              </w:rPr>
              <w:t>2</w:t>
            </w:r>
          </w:p>
        </w:tc>
        <w:tc>
          <w:tcPr>
            <w:tcW w:w="160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ascii="宋体" w:hAnsi="宋体" w:cs="华文仿宋"/>
                <w:color w:val="000000"/>
                <w:kern w:val="0"/>
                <w:sz w:val="24"/>
              </w:rPr>
            </w:pPr>
            <w:r>
              <w:rPr>
                <w:rFonts w:hint="eastAsia" w:ascii="宋体" w:hAnsi="宋体" w:cs="华文仿宋"/>
                <w:color w:val="000000"/>
                <w:kern w:val="0"/>
                <w:sz w:val="24"/>
              </w:rPr>
              <w:t>供应商资质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ascii="宋体" w:hAnsi="宋体" w:cs="华文仿宋"/>
                <w:color w:val="000000"/>
                <w:kern w:val="0"/>
                <w:sz w:val="24"/>
              </w:rPr>
            </w:pPr>
            <w:r>
              <w:rPr>
                <w:rFonts w:hint="eastAsia" w:ascii="宋体" w:hAnsi="宋体" w:cs="华文仿宋"/>
                <w:color w:val="000000"/>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ascii="宋体" w:hAnsi="宋体"/>
              </w:rPr>
            </w:pPr>
            <w:r>
              <w:rPr>
                <w:rFonts w:hint="eastAsia" w:ascii="宋体" w:hAnsi="宋体"/>
              </w:rPr>
              <w:t>3</w:t>
            </w:r>
          </w:p>
        </w:tc>
        <w:tc>
          <w:tcPr>
            <w:tcW w:w="1601" w:type="dxa"/>
            <w:vMerge w:val="continue"/>
            <w:tcBorders>
              <w:left w:val="single" w:color="000000" w:sz="4" w:space="0"/>
              <w:right w:val="single" w:color="000000" w:sz="4" w:space="0"/>
            </w:tcBorders>
            <w:vAlign w:val="center"/>
          </w:tcPr>
          <w:p>
            <w:pPr>
              <w:widowControl/>
              <w:jc w:val="center"/>
              <w:rPr>
                <w:rFonts w:ascii="宋体" w:hAnsi="宋体" w:cs="华文仿宋"/>
                <w:color w:val="000000"/>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ascii="宋体" w:hAnsi="宋体" w:cs="华文仿宋"/>
                <w:color w:val="000000"/>
                <w:kern w:val="0"/>
                <w:sz w:val="24"/>
              </w:rPr>
            </w:pPr>
            <w:r>
              <w:rPr>
                <w:rFonts w:hint="eastAsia" w:ascii="宋体" w:hAnsi="宋体" w:cs="华文仿宋"/>
                <w:color w:val="000000"/>
                <w:kern w:val="0"/>
                <w:sz w:val="24"/>
              </w:rPr>
              <w:t>开户许可证</w:t>
            </w:r>
          </w:p>
        </w:tc>
      </w:tr>
      <w:tr>
        <w:tblPrEx>
          <w:tblLayout w:type="fixed"/>
          <w:tblCellMar>
            <w:top w:w="0" w:type="dxa"/>
            <w:left w:w="0" w:type="dxa"/>
            <w:bottom w:w="0" w:type="dxa"/>
            <w:right w:w="0" w:type="dxa"/>
          </w:tblCellMar>
        </w:tblPrEx>
        <w:trPr>
          <w:trHeight w:val="249"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hint="eastAsia" w:ascii="宋体" w:hAnsi="宋体" w:eastAsia="宋体"/>
                <w:lang w:val="en-US" w:eastAsia="zh-CN"/>
              </w:rPr>
            </w:pPr>
            <w:r>
              <w:rPr>
                <w:rFonts w:hint="eastAsia" w:ascii="宋体" w:hAnsi="宋体"/>
                <w:lang w:val="en-US" w:eastAsia="zh-CN"/>
              </w:rPr>
              <w:t>4</w:t>
            </w:r>
          </w:p>
        </w:tc>
        <w:tc>
          <w:tcPr>
            <w:tcW w:w="1601" w:type="dxa"/>
            <w:vMerge w:val="continue"/>
            <w:tcBorders>
              <w:left w:val="single" w:color="000000" w:sz="4" w:space="0"/>
              <w:right w:val="single" w:color="000000" w:sz="4" w:space="0"/>
            </w:tcBorders>
            <w:vAlign w:val="center"/>
          </w:tcPr>
          <w:p>
            <w:pPr>
              <w:widowControl/>
              <w:jc w:val="center"/>
              <w:rPr>
                <w:rFonts w:ascii="宋体" w:hAnsi="宋体" w:cs="华文仿宋"/>
                <w:color w:val="000000"/>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ascii="宋体" w:hAnsi="宋体" w:cs="华文仿宋"/>
                <w:color w:val="000000"/>
                <w:kern w:val="0"/>
                <w:sz w:val="24"/>
              </w:rPr>
            </w:pPr>
            <w:r>
              <w:rPr>
                <w:rFonts w:hint="eastAsia" w:ascii="宋体" w:hAnsi="宋体" w:cs="华文仿宋"/>
                <w:color w:val="000000"/>
                <w:kern w:val="0"/>
                <w:sz w:val="24"/>
              </w:rPr>
              <w:t>法人代表授权书</w:t>
            </w:r>
          </w:p>
        </w:tc>
      </w:tr>
      <w:tr>
        <w:tblPrEx>
          <w:tblLayout w:type="fixed"/>
          <w:tblCellMar>
            <w:top w:w="0" w:type="dxa"/>
            <w:left w:w="0" w:type="dxa"/>
            <w:bottom w:w="0" w:type="dxa"/>
            <w:right w:w="0" w:type="dxa"/>
          </w:tblCellMar>
        </w:tblPrEx>
        <w:trPr>
          <w:trHeight w:val="249"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hint="eastAsia" w:ascii="宋体" w:hAnsi="宋体" w:eastAsia="宋体"/>
                <w:lang w:val="en-US" w:eastAsia="zh-CN"/>
              </w:rPr>
            </w:pPr>
            <w:r>
              <w:rPr>
                <w:rFonts w:hint="eastAsia" w:ascii="宋体" w:hAnsi="宋体"/>
                <w:lang w:val="en-US" w:eastAsia="zh-CN"/>
              </w:rPr>
              <w:t>5</w:t>
            </w:r>
          </w:p>
        </w:tc>
        <w:tc>
          <w:tcPr>
            <w:tcW w:w="1601" w:type="dxa"/>
            <w:vMerge w:val="continue"/>
            <w:tcBorders>
              <w:left w:val="single" w:color="000000" w:sz="4" w:space="0"/>
              <w:right w:val="single" w:color="000000" w:sz="4" w:space="0"/>
            </w:tcBorders>
            <w:vAlign w:val="center"/>
          </w:tcPr>
          <w:p>
            <w:pPr>
              <w:widowControl/>
              <w:jc w:val="center"/>
              <w:rPr>
                <w:rFonts w:ascii="宋体" w:hAnsi="宋体" w:cs="华文仿宋"/>
                <w:color w:val="000000"/>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ascii="宋体" w:hAnsi="宋体" w:cs="华文仿宋"/>
                <w:color w:val="000000"/>
                <w:kern w:val="0"/>
                <w:sz w:val="24"/>
              </w:rPr>
            </w:pPr>
            <w:r>
              <w:rPr>
                <w:rFonts w:hint="eastAsia" w:ascii="宋体" w:hAnsi="宋体" w:cs="华文仿宋"/>
                <w:color w:val="000000"/>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81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rPr>
                <w:rFonts w:hint="eastAsia" w:ascii="宋体" w:hAnsi="宋体" w:eastAsia="宋体"/>
                <w:lang w:val="en-US" w:eastAsia="zh-CN"/>
              </w:rPr>
            </w:pPr>
            <w:r>
              <w:rPr>
                <w:rFonts w:hint="eastAsia" w:ascii="宋体" w:hAnsi="宋体"/>
                <w:lang w:val="en-US" w:eastAsia="zh-CN"/>
              </w:rPr>
              <w:t>6</w:t>
            </w:r>
          </w:p>
        </w:tc>
        <w:tc>
          <w:tcPr>
            <w:tcW w:w="1601" w:type="dxa"/>
            <w:vMerge w:val="continue"/>
            <w:tcBorders>
              <w:left w:val="single" w:color="000000" w:sz="4" w:space="0"/>
              <w:bottom w:val="single" w:color="auto" w:sz="4" w:space="0"/>
              <w:right w:val="single" w:color="000000" w:sz="4" w:space="0"/>
            </w:tcBorders>
            <w:vAlign w:val="center"/>
          </w:tcPr>
          <w:p>
            <w:pPr>
              <w:widowControl/>
              <w:jc w:val="center"/>
              <w:rPr>
                <w:rFonts w:ascii="宋体" w:hAnsi="宋体" w:cs="华文仿宋"/>
                <w:color w:val="000000"/>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ascii="宋体" w:hAnsi="宋体" w:cs="华文仿宋"/>
                <w:color w:val="000000"/>
                <w:kern w:val="0"/>
                <w:sz w:val="24"/>
              </w:rPr>
            </w:pPr>
            <w:r>
              <w:rPr>
                <w:rFonts w:hint="eastAsia" w:ascii="宋体" w:hAnsi="宋体" w:cs="华文仿宋"/>
                <w:color w:val="000000"/>
                <w:kern w:val="0"/>
                <w:sz w:val="24"/>
              </w:rPr>
              <w:t>投标代表身份证复印件</w:t>
            </w:r>
          </w:p>
        </w:tc>
      </w:tr>
      <w:tr>
        <w:tblPrEx>
          <w:tblLayout w:type="fixed"/>
          <w:tblCellMar>
            <w:top w:w="0" w:type="dxa"/>
            <w:left w:w="0" w:type="dxa"/>
            <w:bottom w:w="0" w:type="dxa"/>
            <w:right w:w="0" w:type="dxa"/>
          </w:tblCellMar>
        </w:tblPrEx>
        <w:trPr>
          <w:trHeight w:val="349" w:hRule="atLeast"/>
        </w:trPr>
        <w:tc>
          <w:tcPr>
            <w:tcW w:w="817" w:type="dxa"/>
            <w:tcBorders>
              <w:top w:val="single" w:color="000000" w:sz="4" w:space="0"/>
              <w:left w:val="single" w:color="000000" w:sz="4" w:space="0"/>
              <w:bottom w:val="single" w:color="auto" w:sz="4" w:space="0"/>
              <w:right w:val="single" w:color="auto" w:sz="4" w:space="0"/>
            </w:tcBorders>
            <w:tcMar>
              <w:top w:w="15" w:type="dxa"/>
              <w:left w:w="15" w:type="dxa"/>
              <w:bottom w:w="0" w:type="dxa"/>
              <w:right w:w="15" w:type="dxa"/>
            </w:tcMar>
          </w:tcPr>
          <w:p>
            <w:pPr>
              <w:jc w:val="center"/>
              <w:rPr>
                <w:rFonts w:hint="default" w:ascii="宋体" w:hAnsi="宋体"/>
                <w:lang w:val="en-US" w:eastAsia="zh-CN"/>
              </w:rPr>
            </w:pPr>
            <w:r>
              <w:rPr>
                <w:rFonts w:hint="eastAsia" w:ascii="宋体" w:hAnsi="宋体"/>
                <w:lang w:val="en-US" w:eastAsia="zh-CN"/>
              </w:rPr>
              <w:t>7</w:t>
            </w:r>
          </w:p>
        </w:tc>
        <w:tc>
          <w:tcPr>
            <w:tcW w:w="7420" w:type="dxa"/>
            <w:gridSpan w:val="2"/>
            <w:tcBorders>
              <w:top w:val="single" w:color="auto" w:sz="4" w:space="0"/>
              <w:left w:val="single" w:color="auto" w:sz="4" w:space="0"/>
              <w:bottom w:val="single" w:color="auto" w:sz="4" w:space="0"/>
              <w:right w:val="single" w:color="000000" w:sz="4" w:space="0"/>
            </w:tcBorders>
            <w:vAlign w:val="center"/>
          </w:tcPr>
          <w:p>
            <w:pPr>
              <w:widowControl/>
              <w:jc w:val="left"/>
              <w:textAlignment w:val="bottom"/>
              <w:rPr>
                <w:rFonts w:hint="eastAsia" w:ascii="宋体" w:hAnsi="宋体" w:cs="华文仿宋"/>
                <w:color w:val="000000"/>
                <w:kern w:val="0"/>
                <w:sz w:val="24"/>
                <w:highlight w:val="none"/>
              </w:rPr>
            </w:pPr>
            <w:r>
              <w:rPr>
                <w:rFonts w:hint="eastAsia" w:ascii="宋体" w:hAnsi="宋体" w:cs="宋体"/>
                <w:color w:val="auto"/>
                <w:szCs w:val="21"/>
                <w:highlight w:val="none"/>
                <w:lang w:val="en-US" w:eastAsia="zh-CN"/>
              </w:rPr>
              <w:t>业绩</w:t>
            </w:r>
          </w:p>
        </w:tc>
      </w:tr>
      <w:tr>
        <w:tblPrEx>
          <w:tblLayout w:type="fixed"/>
          <w:tblCellMar>
            <w:top w:w="0" w:type="dxa"/>
            <w:left w:w="0" w:type="dxa"/>
            <w:bottom w:w="0" w:type="dxa"/>
            <w:right w:w="0" w:type="dxa"/>
          </w:tblCellMar>
        </w:tblPrEx>
        <w:trPr>
          <w:trHeight w:val="348" w:hRule="atLeast"/>
        </w:trPr>
        <w:tc>
          <w:tcPr>
            <w:tcW w:w="817"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lang w:val="en-US" w:eastAsia="zh-CN"/>
              </w:rPr>
            </w:pPr>
            <w:r>
              <w:rPr>
                <w:rFonts w:hint="eastAsia" w:ascii="宋体" w:hAnsi="宋体"/>
                <w:lang w:val="en-US" w:eastAsia="zh-CN"/>
              </w:rPr>
              <w:t>8</w:t>
            </w:r>
          </w:p>
        </w:tc>
        <w:tc>
          <w:tcPr>
            <w:tcW w:w="7420" w:type="dxa"/>
            <w:gridSpan w:val="2"/>
            <w:tcBorders>
              <w:left w:val="single" w:color="000000" w:sz="4" w:space="0"/>
              <w:right w:val="single" w:color="000000" w:sz="4" w:space="0"/>
            </w:tcBorders>
            <w:vAlign w:val="center"/>
          </w:tcPr>
          <w:p>
            <w:pPr>
              <w:widowControl/>
              <w:jc w:val="left"/>
              <w:textAlignment w:val="bottom"/>
              <w:rPr>
                <w:rFonts w:ascii="宋体" w:hAnsi="宋体" w:cs="华文仿宋"/>
                <w:kern w:val="0"/>
                <w:sz w:val="24"/>
                <w:highlight w:val="none"/>
              </w:rPr>
            </w:pPr>
            <w:r>
              <w:rPr>
                <w:rFonts w:hint="eastAsia" w:ascii="宋体" w:hAnsi="宋体" w:eastAsia="宋体" w:cs="宋体"/>
                <w:color w:val="auto"/>
                <w:szCs w:val="21"/>
                <w:highlight w:val="none"/>
                <w:lang w:val="en-US" w:eastAsia="zh-CN"/>
              </w:rPr>
              <w:t>拟投入项目组成员</w:t>
            </w:r>
          </w:p>
        </w:tc>
      </w:tr>
      <w:tr>
        <w:tblPrEx>
          <w:tblLayout w:type="fixed"/>
          <w:tblCellMar>
            <w:top w:w="0" w:type="dxa"/>
            <w:left w:w="0" w:type="dxa"/>
            <w:bottom w:w="0" w:type="dxa"/>
            <w:right w:w="0" w:type="dxa"/>
          </w:tblCellMar>
        </w:tblPrEx>
        <w:trPr>
          <w:trHeight w:val="302"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hint="default" w:ascii="宋体" w:hAnsi="宋体" w:eastAsia="宋体" w:cs="华文仿宋"/>
                <w:kern w:val="0"/>
                <w:sz w:val="24"/>
                <w:lang w:val="en-US" w:eastAsia="zh-CN"/>
              </w:rPr>
            </w:pPr>
            <w:r>
              <w:rPr>
                <w:rFonts w:hint="eastAsia" w:ascii="宋体" w:hAnsi="宋体" w:cs="华文仿宋"/>
                <w:kern w:val="0"/>
                <w:sz w:val="24"/>
                <w:lang w:val="en-US" w:eastAsia="zh-CN"/>
              </w:rPr>
              <w:t>9</w:t>
            </w:r>
          </w:p>
        </w:tc>
        <w:tc>
          <w:tcPr>
            <w:tcW w:w="74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ascii="宋体" w:hAnsi="宋体" w:cs="华文仿宋"/>
                <w:kern w:val="0"/>
                <w:sz w:val="24"/>
                <w:highlight w:val="none"/>
              </w:rPr>
            </w:pPr>
            <w:r>
              <w:rPr>
                <w:rFonts w:hint="eastAsia" w:ascii="宋体" w:hAnsi="宋体" w:eastAsia="宋体" w:cs="宋体"/>
                <w:color w:val="auto"/>
                <w:szCs w:val="21"/>
                <w:highlight w:val="none"/>
              </w:rPr>
              <w:t>服务方案及质量保证措施</w:t>
            </w:r>
          </w:p>
        </w:tc>
      </w:tr>
      <w:tr>
        <w:tblPrEx>
          <w:tblLayout w:type="fixed"/>
          <w:tblCellMar>
            <w:top w:w="0" w:type="dxa"/>
            <w:left w:w="0" w:type="dxa"/>
            <w:bottom w:w="0" w:type="dxa"/>
            <w:right w:w="0" w:type="dxa"/>
          </w:tblCellMar>
        </w:tblPrEx>
        <w:trPr>
          <w:trHeight w:val="302"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hint="eastAsia" w:ascii="宋体" w:hAnsi="宋体" w:eastAsia="宋体"/>
                <w:lang w:val="en-US" w:eastAsia="zh-CN"/>
              </w:rPr>
            </w:pPr>
            <w:r>
              <w:rPr>
                <w:rFonts w:hint="eastAsia" w:ascii="宋体" w:hAnsi="宋体"/>
              </w:rPr>
              <w:t>1</w:t>
            </w:r>
            <w:r>
              <w:rPr>
                <w:rFonts w:hint="eastAsia" w:ascii="宋体" w:hAnsi="宋体"/>
                <w:lang w:val="en-US" w:eastAsia="zh-CN"/>
              </w:rPr>
              <w:t>0</w:t>
            </w:r>
          </w:p>
        </w:tc>
        <w:tc>
          <w:tcPr>
            <w:tcW w:w="74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ascii="宋体" w:hAnsi="宋体" w:cs="华文仿宋"/>
                <w:color w:val="000000"/>
                <w:kern w:val="0"/>
                <w:sz w:val="24"/>
                <w:highlight w:val="none"/>
              </w:rPr>
            </w:pPr>
            <w:r>
              <w:rPr>
                <w:rFonts w:hint="eastAsia" w:ascii="宋体" w:hAnsi="宋体" w:eastAsia="宋体" w:cs="宋体"/>
                <w:color w:val="auto"/>
                <w:szCs w:val="21"/>
                <w:highlight w:val="none"/>
                <w:lang w:val="en-US" w:eastAsia="zh-CN"/>
              </w:rPr>
              <w:t>招标代理工作的时限保证措施</w:t>
            </w:r>
          </w:p>
        </w:tc>
      </w:tr>
      <w:tr>
        <w:tblPrEx>
          <w:tblLayout w:type="fixed"/>
          <w:tblCellMar>
            <w:top w:w="0" w:type="dxa"/>
            <w:left w:w="0" w:type="dxa"/>
            <w:bottom w:w="0" w:type="dxa"/>
            <w:right w:w="0" w:type="dxa"/>
          </w:tblCellMar>
        </w:tblPrEx>
        <w:trPr>
          <w:trHeight w:val="324"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hint="default" w:ascii="宋体" w:hAnsi="宋体" w:eastAsia="宋体"/>
                <w:lang w:val="en-US" w:eastAsia="zh-CN"/>
              </w:rPr>
            </w:pPr>
            <w:r>
              <w:rPr>
                <w:rFonts w:hint="eastAsia" w:ascii="宋体" w:hAnsi="宋体"/>
              </w:rPr>
              <w:t>1</w:t>
            </w:r>
            <w:r>
              <w:rPr>
                <w:rFonts w:hint="eastAsia" w:ascii="宋体" w:hAnsi="宋体"/>
                <w:lang w:val="en-US" w:eastAsia="zh-CN"/>
              </w:rPr>
              <w:t>1</w:t>
            </w:r>
          </w:p>
        </w:tc>
        <w:tc>
          <w:tcPr>
            <w:tcW w:w="74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ascii="宋体" w:hAnsi="宋体" w:cs="华文仿宋"/>
                <w:color w:val="000000"/>
                <w:kern w:val="0"/>
                <w:sz w:val="24"/>
                <w:highlight w:val="none"/>
              </w:rPr>
            </w:pPr>
            <w:r>
              <w:rPr>
                <w:rFonts w:hint="eastAsia" w:ascii="宋体" w:hAnsi="宋体" w:eastAsia="宋体" w:cs="宋体"/>
                <w:color w:val="auto"/>
                <w:szCs w:val="21"/>
                <w:highlight w:val="none"/>
                <w:lang w:val="en-US" w:eastAsia="zh-CN"/>
              </w:rPr>
              <w:t>业务能力提升</w:t>
            </w:r>
          </w:p>
        </w:tc>
      </w:tr>
      <w:tr>
        <w:tblPrEx>
          <w:tblLayout w:type="fixed"/>
          <w:tblCellMar>
            <w:top w:w="0" w:type="dxa"/>
            <w:left w:w="0" w:type="dxa"/>
            <w:bottom w:w="0" w:type="dxa"/>
            <w:right w:w="0" w:type="dxa"/>
          </w:tblCellMar>
        </w:tblPrEx>
        <w:trPr>
          <w:trHeight w:val="324"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hint="eastAsia" w:ascii="宋体" w:hAnsi="宋体" w:eastAsia="宋体"/>
                <w:lang w:val="en-US" w:eastAsia="zh-CN"/>
              </w:rPr>
            </w:pPr>
            <w:r>
              <w:rPr>
                <w:rFonts w:hint="eastAsia" w:ascii="宋体" w:hAnsi="宋体"/>
              </w:rPr>
              <w:t>1</w:t>
            </w:r>
            <w:r>
              <w:rPr>
                <w:rFonts w:hint="eastAsia" w:ascii="宋体" w:hAnsi="宋体"/>
                <w:lang w:val="en-US" w:eastAsia="zh-CN"/>
              </w:rPr>
              <w:t>2</w:t>
            </w:r>
          </w:p>
        </w:tc>
        <w:tc>
          <w:tcPr>
            <w:tcW w:w="74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ascii="宋体" w:hAnsi="宋体" w:cs="华文仿宋"/>
                <w:color w:val="000000"/>
                <w:kern w:val="0"/>
                <w:sz w:val="24"/>
                <w:highlight w:val="none"/>
              </w:rPr>
            </w:pPr>
            <w:r>
              <w:rPr>
                <w:rFonts w:hint="eastAsia" w:ascii="宋体" w:hAnsi="宋体" w:eastAsia="宋体" w:cs="宋体"/>
                <w:color w:val="auto"/>
                <w:szCs w:val="21"/>
                <w:highlight w:val="none"/>
                <w:lang w:val="en-US" w:eastAsia="zh-CN"/>
              </w:rPr>
              <w:t>康洁从业及保密措施</w:t>
            </w:r>
          </w:p>
        </w:tc>
      </w:tr>
      <w:tr>
        <w:tblPrEx>
          <w:tblLayout w:type="fixed"/>
          <w:tblCellMar>
            <w:top w:w="0" w:type="dxa"/>
            <w:left w:w="0" w:type="dxa"/>
            <w:bottom w:w="0" w:type="dxa"/>
            <w:right w:w="0" w:type="dxa"/>
          </w:tblCellMar>
        </w:tblPrEx>
        <w:trPr>
          <w:trHeight w:val="324"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hint="default" w:ascii="宋体" w:hAnsi="宋体" w:eastAsia="宋体"/>
                <w:highlight w:val="none"/>
                <w:lang w:val="en-US" w:eastAsia="zh-CN"/>
              </w:rPr>
            </w:pPr>
            <w:r>
              <w:rPr>
                <w:rFonts w:hint="eastAsia" w:ascii="宋体" w:hAnsi="宋体"/>
                <w:highlight w:val="none"/>
                <w:lang w:val="en-US" w:eastAsia="zh-CN"/>
              </w:rPr>
              <w:t>13</w:t>
            </w:r>
          </w:p>
        </w:tc>
        <w:tc>
          <w:tcPr>
            <w:tcW w:w="74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服务承诺</w:t>
            </w:r>
          </w:p>
        </w:tc>
      </w:tr>
      <w:tr>
        <w:tblPrEx>
          <w:tblLayout w:type="fixed"/>
          <w:tblCellMar>
            <w:top w:w="0" w:type="dxa"/>
            <w:left w:w="0" w:type="dxa"/>
            <w:bottom w:w="0" w:type="dxa"/>
            <w:right w:w="0" w:type="dxa"/>
          </w:tblCellMar>
        </w:tblPrEx>
        <w:trPr>
          <w:trHeight w:val="324" w:hRule="atLeast"/>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hint="default" w:ascii="宋体" w:hAnsi="宋体"/>
                <w:highlight w:val="none"/>
                <w:lang w:val="en-US" w:eastAsia="zh-CN"/>
              </w:rPr>
            </w:pPr>
            <w:r>
              <w:rPr>
                <w:rFonts w:hint="eastAsia" w:ascii="宋体" w:hAnsi="宋体"/>
                <w:highlight w:val="none"/>
                <w:lang w:val="en-US" w:eastAsia="zh-CN"/>
              </w:rPr>
              <w:t>14</w:t>
            </w:r>
          </w:p>
        </w:tc>
        <w:tc>
          <w:tcPr>
            <w:tcW w:w="74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营业场所及硬件措施</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w:t>
      </w:r>
      <w:r>
        <w:rPr>
          <w:rFonts w:hint="eastAsia" w:asciiTheme="minorEastAsia" w:hAnsiTheme="minorEastAsia" w:eastAsiaTheme="minorEastAsia"/>
          <w:b/>
          <w:bCs/>
          <w:sz w:val="24"/>
          <w:lang w:eastAsia="zh-CN"/>
        </w:rPr>
        <w:t>三</w:t>
      </w:r>
      <w:r>
        <w:rPr>
          <w:rFonts w:hint="eastAsia" w:asciiTheme="minorEastAsia" w:hAnsiTheme="minorEastAsia" w:eastAsiaTheme="minorEastAsia"/>
          <w:b/>
          <w:bCs/>
          <w:sz w:val="24"/>
        </w:rPr>
        <w:t>、投标文件的递交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9"/>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w:t>
      </w:r>
      <w:r>
        <w:rPr>
          <w:rFonts w:hint="eastAsia" w:asciiTheme="minorEastAsia" w:hAnsiTheme="minorEastAsia" w:eastAsiaTheme="minorEastAsia"/>
          <w:b/>
          <w:bCs/>
          <w:color w:val="000000" w:themeColor="text1"/>
          <w:lang w:eastAsia="zh-CN"/>
          <w14:textFill>
            <w14:solidFill>
              <w14:schemeClr w14:val="tx1"/>
            </w14:solidFill>
          </w14:textFill>
        </w:rPr>
        <w:t>四</w:t>
      </w:r>
      <w:r>
        <w:rPr>
          <w:rFonts w:hint="eastAsia" w:asciiTheme="minorEastAsia" w:hAnsiTheme="minorEastAsia" w:eastAsiaTheme="minorEastAsia"/>
          <w:b/>
          <w:bCs/>
          <w:color w:val="000000" w:themeColor="text1"/>
          <w14:textFill>
            <w14:solidFill>
              <w14:schemeClr w14:val="tx1"/>
            </w14:solidFill>
          </w14:textFill>
        </w:rPr>
        <w:t>、谈判与评标</w:t>
      </w:r>
    </w:p>
    <w:p>
      <w:pPr>
        <w:pStyle w:val="9"/>
        <w:spacing w:before="0" w:beforeAutospacing="0" w:after="0" w:afterAutospacing="0" w:line="450" w:lineRule="atLeas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1、开</w:t>
      </w:r>
      <w:r>
        <w:rPr>
          <w:rFonts w:hint="eastAsia" w:asciiTheme="minorEastAsia" w:hAnsiTheme="minorEastAsia" w:eastAsiaTheme="minorEastAsia"/>
        </w:rPr>
        <w:t>标时间：202</w:t>
      </w:r>
      <w:r>
        <w:rPr>
          <w:rFonts w:hint="eastAsia" w:asciiTheme="minorEastAsia" w:hAnsiTheme="minorEastAsia" w:eastAsiaTheme="minorEastAsia"/>
          <w:lang w:val="en-US" w:eastAsia="zh-CN"/>
        </w:rPr>
        <w:t>5</w:t>
      </w:r>
      <w:r>
        <w:rPr>
          <w:rFonts w:hint="eastAsia" w:asciiTheme="minorEastAsia" w:hAnsiTheme="minorEastAsia" w:eastAsiaTheme="minorEastAsia"/>
        </w:rPr>
        <w:t>年</w:t>
      </w:r>
      <w:r>
        <w:rPr>
          <w:rFonts w:hint="eastAsia" w:asciiTheme="minorEastAsia" w:hAnsiTheme="minorEastAsia" w:eastAsiaTheme="minorEastAsia"/>
          <w:lang w:val="en-US" w:eastAsia="zh-CN"/>
        </w:rPr>
        <w:t>11</w:t>
      </w:r>
      <w:r>
        <w:rPr>
          <w:rFonts w:hint="eastAsia" w:asciiTheme="minorEastAsia" w:hAnsiTheme="minorEastAsia" w:eastAsiaTheme="minorEastAsia"/>
        </w:rPr>
        <w:t>月</w:t>
      </w:r>
      <w:r>
        <w:rPr>
          <w:rFonts w:hint="eastAsia" w:asciiTheme="minorEastAsia" w:hAnsiTheme="minorEastAsia" w:eastAsiaTheme="minorEastAsia"/>
          <w:lang w:val="en-US" w:eastAsia="zh-CN"/>
        </w:rPr>
        <w:t>7</w:t>
      </w:r>
      <w:bookmarkStart w:id="0" w:name="_GoBack"/>
      <w:bookmarkEnd w:id="0"/>
      <w:r>
        <w:rPr>
          <w:rFonts w:hint="eastAsia" w:asciiTheme="minorEastAsia" w:hAnsiTheme="minorEastAsia" w:eastAsiaTheme="minorEastAsia"/>
        </w:rPr>
        <w:t>日14时(如有变化电话通</w:t>
      </w:r>
      <w:r>
        <w:rPr>
          <w:rFonts w:hint="eastAsia" w:asciiTheme="minorEastAsia" w:hAnsiTheme="minorEastAsia" w:eastAsiaTheme="minorEastAsia"/>
          <w:color w:val="000000" w:themeColor="text1"/>
          <w14:textFill>
            <w14:solidFill>
              <w14:schemeClr w14:val="tx1"/>
            </w14:solidFill>
          </w14:textFill>
        </w:rPr>
        <w:t>知)</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2、开标地点：大庆市第五医院二部机关楼二楼会议室</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4、采购小组有权对投标文件提出质疑，并请投标人给予解释；转入评标阶段时，所有投标人应回避等候定标结果。</w:t>
      </w:r>
    </w:p>
    <w:p>
      <w:pPr>
        <w:pStyle w:val="9"/>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w:t>
      </w:r>
      <w:r>
        <w:rPr>
          <w:rFonts w:hint="eastAsia" w:asciiTheme="minorEastAsia" w:hAnsiTheme="minorEastAsia" w:eastAsiaTheme="minorEastAsia"/>
          <w:b/>
          <w:bCs/>
          <w:lang w:eastAsia="zh-CN"/>
        </w:rPr>
        <w:t>五</w:t>
      </w:r>
      <w:r>
        <w:rPr>
          <w:rFonts w:hint="eastAsia" w:asciiTheme="minorEastAsia" w:hAnsiTheme="minorEastAsia" w:eastAsiaTheme="minorEastAsia"/>
          <w:b/>
          <w:bCs/>
        </w:rPr>
        <w:t>、评标原则</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1、签署的投标文件必须符合本标书的要求。</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2、能提供最合理的投标报价。</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3、服务承诺及具体服务保证措施。</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5、综合评分最高者推荐为中标供应商。</w:t>
      </w:r>
    </w:p>
    <w:p>
      <w:pPr>
        <w:pStyle w:val="9"/>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w:t>
      </w:r>
      <w:r>
        <w:rPr>
          <w:rFonts w:hint="eastAsia" w:asciiTheme="minorEastAsia" w:hAnsiTheme="minorEastAsia" w:eastAsiaTheme="minorEastAsia"/>
          <w:b/>
          <w:bCs/>
          <w:lang w:eastAsia="zh-CN"/>
        </w:rPr>
        <w:t>六</w:t>
      </w:r>
      <w:r>
        <w:rPr>
          <w:rFonts w:hint="eastAsia" w:asciiTheme="minorEastAsia" w:hAnsiTheme="minorEastAsia" w:eastAsiaTheme="minorEastAsia"/>
          <w:b/>
          <w:bCs/>
        </w:rPr>
        <w:t>、质疑答复</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9"/>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9"/>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w:t>
      </w:r>
      <w:r>
        <w:rPr>
          <w:rFonts w:hint="eastAsia" w:asciiTheme="minorEastAsia" w:hAnsiTheme="minorEastAsia" w:eastAsiaTheme="minorEastAsia"/>
          <w:b/>
          <w:bCs/>
          <w:color w:val="000000" w:themeColor="text1"/>
          <w:lang w:eastAsia="zh-CN"/>
          <w14:textFill>
            <w14:solidFill>
              <w14:schemeClr w14:val="tx1"/>
            </w14:solidFill>
          </w14:textFill>
        </w:rPr>
        <w:t>七</w:t>
      </w:r>
      <w:r>
        <w:rPr>
          <w:rFonts w:hint="eastAsia" w:asciiTheme="minorEastAsia" w:hAnsiTheme="minorEastAsia" w:eastAsiaTheme="minorEastAsia"/>
          <w:b/>
          <w:bCs/>
          <w:color w:val="000000" w:themeColor="text1"/>
          <w14:textFill>
            <w14:solidFill>
              <w14:schemeClr w14:val="tx1"/>
            </w14:solidFill>
          </w14:textFill>
        </w:rPr>
        <w:t>、违约责任</w:t>
      </w:r>
    </w:p>
    <w:p>
      <w:pPr>
        <w:pStyle w:val="17"/>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7"/>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w:t>
      </w:r>
      <w:r>
        <w:rPr>
          <w:rFonts w:hint="eastAsia" w:asciiTheme="minorEastAsia" w:hAnsiTheme="minorEastAsia" w:eastAsiaTheme="minorEastAsia"/>
          <w:color w:val="000000"/>
          <w:shd w:val="clear" w:color="auto" w:fill="FFFFFF"/>
          <w:lang w:eastAsia="zh-CN"/>
        </w:rPr>
        <w:t>服务</w:t>
      </w:r>
      <w:r>
        <w:rPr>
          <w:rFonts w:hint="eastAsia" w:asciiTheme="minorEastAsia" w:hAnsiTheme="minorEastAsia" w:eastAsiaTheme="minorEastAsia"/>
          <w:color w:val="000000"/>
          <w:shd w:val="clear" w:color="auto" w:fill="FFFFFF"/>
        </w:rPr>
        <w:t>不达标，被</w:t>
      </w:r>
      <w:r>
        <w:rPr>
          <w:rFonts w:hint="eastAsia" w:asciiTheme="minorEastAsia" w:hAnsiTheme="minorEastAsia" w:eastAsiaTheme="minorEastAsia"/>
          <w:color w:val="000000"/>
          <w:shd w:val="clear" w:color="auto" w:fill="FFFFFF"/>
          <w:lang w:eastAsia="zh-CN"/>
        </w:rPr>
        <w:t>相关</w:t>
      </w:r>
      <w:r>
        <w:rPr>
          <w:rFonts w:hint="eastAsia" w:asciiTheme="minorEastAsia" w:hAnsiTheme="minorEastAsia" w:eastAsiaTheme="minorEastAsia"/>
          <w:color w:val="000000"/>
          <w:shd w:val="clear" w:color="auto" w:fill="FFFFFF"/>
        </w:rPr>
        <w:t>科室投诉三次以上，经核实确认后直接终止合同。相关</w:t>
      </w:r>
      <w:r>
        <w:rPr>
          <w:rFonts w:hint="eastAsia" w:asciiTheme="minorEastAsia" w:hAnsiTheme="minorEastAsia" w:eastAsiaTheme="minorEastAsia"/>
          <w:color w:val="000000"/>
          <w:shd w:val="clear" w:color="auto" w:fill="FFFFFF"/>
          <w:lang w:eastAsia="zh-CN"/>
        </w:rPr>
        <w:t>服务</w:t>
      </w:r>
      <w:r>
        <w:rPr>
          <w:rFonts w:hint="eastAsia" w:asciiTheme="minorEastAsia" w:hAnsiTheme="minorEastAsia" w:eastAsiaTheme="minorEastAsia"/>
          <w:color w:val="000000"/>
          <w:shd w:val="clear" w:color="auto" w:fill="FFFFFF"/>
        </w:rPr>
        <w:t>重新招标，中标公司及其代理</w:t>
      </w:r>
      <w:r>
        <w:rPr>
          <w:rFonts w:hint="eastAsia" w:asciiTheme="minorEastAsia" w:hAnsiTheme="minorEastAsia" w:eastAsiaTheme="minorEastAsia"/>
          <w:color w:val="000000"/>
          <w:shd w:val="clear" w:color="auto" w:fill="FFFFFF"/>
          <w:lang w:eastAsia="zh-CN"/>
        </w:rPr>
        <w:t>服务</w:t>
      </w:r>
      <w:r>
        <w:rPr>
          <w:rFonts w:hint="eastAsia" w:asciiTheme="minorEastAsia" w:hAnsiTheme="minorEastAsia" w:eastAsiaTheme="minorEastAsia"/>
          <w:color w:val="000000"/>
          <w:shd w:val="clear" w:color="auto" w:fill="FFFFFF"/>
        </w:rPr>
        <w:t>不得继续参与投标。</w:t>
      </w:r>
    </w:p>
    <w:p>
      <w:pPr>
        <w:pStyle w:val="17"/>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7"/>
        <w:spacing w:beforeAutospacing="0" w:afterAutospacing="0" w:line="450" w:lineRule="atLeast"/>
        <w:rPr>
          <w:rFonts w:hint="eastAsia"/>
          <w:color w:val="000000"/>
        </w:rPr>
      </w:pPr>
      <w:r>
        <w:rPr>
          <w:rFonts w:hint="eastAsia"/>
          <w:color w:val="000000"/>
        </w:rPr>
        <w:t>4、合作方不能按时提供服务或超时提供服务而影响医院工作的，承担相关责任。</w:t>
      </w:r>
    </w:p>
    <w:p>
      <w:pPr>
        <w:pStyle w:val="17"/>
        <w:spacing w:beforeAutospacing="0" w:afterAutospacing="0" w:line="450" w:lineRule="atLeast"/>
        <w:rPr>
          <w:rFonts w:hint="eastAsia"/>
          <w:color w:val="000000"/>
        </w:rPr>
      </w:pPr>
      <w:r>
        <w:rPr>
          <w:rFonts w:hint="eastAsia"/>
          <w:color w:val="000000"/>
        </w:rPr>
        <w:t>5、如有恶意投标行为，进入大庆市第五医院黑名单，5年内不准许参加大庆市第五医院招标活动，并上报</w:t>
      </w:r>
      <w:r>
        <w:rPr>
          <w:rFonts w:hint="eastAsia"/>
          <w:color w:val="000000"/>
          <w:lang w:eastAsia="zh-CN"/>
        </w:rPr>
        <w:t>市采购</w:t>
      </w:r>
      <w:r>
        <w:rPr>
          <w:rFonts w:hint="eastAsia"/>
          <w:color w:val="000000"/>
        </w:rPr>
        <w:t>办</w:t>
      </w:r>
      <w:r>
        <w:rPr>
          <w:rFonts w:hint="eastAsia"/>
          <w:color w:val="000000"/>
          <w:lang w:eastAsia="zh-CN"/>
        </w:rPr>
        <w:t>。</w:t>
      </w:r>
      <w:r>
        <w:rPr>
          <w:rFonts w:hint="eastAsia"/>
          <w:color w:val="000000"/>
        </w:rPr>
        <w:t>涉及违法行为的</w:t>
      </w:r>
      <w:r>
        <w:rPr>
          <w:rFonts w:hint="eastAsia"/>
          <w:color w:val="000000"/>
          <w:lang w:eastAsia="zh-CN"/>
        </w:rPr>
        <w:t>，</w:t>
      </w:r>
      <w:r>
        <w:rPr>
          <w:rFonts w:hint="eastAsia"/>
          <w:color w:val="000000"/>
        </w:rPr>
        <w:t>如围标、串标</w:t>
      </w:r>
      <w:r>
        <w:rPr>
          <w:rFonts w:hint="eastAsia"/>
          <w:color w:val="000000"/>
          <w:lang w:eastAsia="zh-CN"/>
        </w:rPr>
        <w:t>等</w:t>
      </w:r>
      <w:r>
        <w:rPr>
          <w:rFonts w:hint="eastAsia"/>
          <w:color w:val="000000"/>
        </w:rPr>
        <w:t>，将依法予以处理。</w:t>
      </w:r>
    </w:p>
    <w:p>
      <w:pPr>
        <w:pStyle w:val="9"/>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w:t>
      </w:r>
      <w:r>
        <w:rPr>
          <w:rFonts w:hint="eastAsia" w:asciiTheme="minorEastAsia" w:hAnsiTheme="minorEastAsia" w:eastAsiaTheme="minorEastAsia"/>
          <w:b/>
          <w:bCs/>
          <w:color w:val="000000" w:themeColor="text1"/>
          <w:lang w:eastAsia="zh-CN"/>
          <w14:textFill>
            <w14:solidFill>
              <w14:schemeClr w14:val="tx1"/>
            </w14:solidFill>
          </w14:textFill>
        </w:rPr>
        <w:t>八</w:t>
      </w:r>
      <w:r>
        <w:rPr>
          <w:rFonts w:hint="eastAsia" w:asciiTheme="minorEastAsia" w:hAnsiTheme="minorEastAsia" w:eastAsiaTheme="minorEastAsia"/>
          <w:b/>
          <w:bCs/>
          <w:color w:val="000000" w:themeColor="text1"/>
          <w14:textFill>
            <w14:solidFill>
              <w14:schemeClr w14:val="tx1"/>
            </w14:solidFill>
          </w14:textFill>
        </w:rPr>
        <w:t>、接到中标通知后，三日内到医院物资供应站签订合同。</w:t>
      </w:r>
    </w:p>
    <w:p>
      <w:pPr>
        <w:pStyle w:val="9"/>
        <w:spacing w:before="0" w:beforeAutospacing="0" w:after="0" w:afterAutospacing="0" w:line="450" w:lineRule="atLeast"/>
        <w:rPr>
          <w:rFonts w:asciiTheme="minorEastAsia" w:hAnsiTheme="minorEastAsia" w:eastAsiaTheme="minorEastAsia"/>
        </w:rPr>
      </w:pPr>
    </w:p>
    <w:p>
      <w:pPr>
        <w:pStyle w:val="9"/>
        <w:spacing w:before="0" w:beforeAutospacing="0" w:after="0" w:afterAutospacing="0" w:line="450" w:lineRule="atLeast"/>
        <w:rPr>
          <w:rFonts w:asciiTheme="minorEastAsia" w:hAnsiTheme="minorEastAsia" w:eastAsiaTheme="minorEastAsia"/>
        </w:rPr>
      </w:pPr>
    </w:p>
    <w:p>
      <w:pPr>
        <w:pStyle w:val="9"/>
        <w:spacing w:before="0" w:beforeAutospacing="0" w:after="0" w:afterAutospacing="0" w:line="450" w:lineRule="atLeast"/>
        <w:rPr>
          <w:rFonts w:asciiTheme="minorEastAsia" w:hAnsiTheme="minorEastAsia" w:eastAsiaTheme="minorEastAsia"/>
        </w:rPr>
      </w:pPr>
    </w:p>
    <w:p>
      <w:pPr>
        <w:pStyle w:val="9"/>
        <w:spacing w:before="0" w:beforeAutospacing="0" w:after="0" w:afterAutospacing="0" w:line="450" w:lineRule="atLeast"/>
        <w:rPr>
          <w:rFonts w:asciiTheme="minorEastAsia" w:hAnsiTheme="minorEastAsia" w:eastAsiaTheme="minorEastAsia"/>
        </w:rPr>
      </w:pP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ZDEwNmU0Yzc0MDRjNTFlNjA5MzEzYzEzOGFlYjUifQ=="/>
  </w:docVars>
  <w:rsids>
    <w:rsidRoot w:val="00EE13F4"/>
    <w:rsid w:val="0001623F"/>
    <w:rsid w:val="00017A17"/>
    <w:rsid w:val="00023F96"/>
    <w:rsid w:val="000356E6"/>
    <w:rsid w:val="00046E9F"/>
    <w:rsid w:val="00071ADC"/>
    <w:rsid w:val="000729AE"/>
    <w:rsid w:val="00074A66"/>
    <w:rsid w:val="00091FA1"/>
    <w:rsid w:val="000A73F6"/>
    <w:rsid w:val="000B0244"/>
    <w:rsid w:val="000B64C5"/>
    <w:rsid w:val="000E2B7B"/>
    <w:rsid w:val="000E3003"/>
    <w:rsid w:val="0010528D"/>
    <w:rsid w:val="00120A55"/>
    <w:rsid w:val="00135190"/>
    <w:rsid w:val="0013637D"/>
    <w:rsid w:val="00147B58"/>
    <w:rsid w:val="00157653"/>
    <w:rsid w:val="00163814"/>
    <w:rsid w:val="001707F7"/>
    <w:rsid w:val="001730E1"/>
    <w:rsid w:val="0019459E"/>
    <w:rsid w:val="00194FCF"/>
    <w:rsid w:val="00195A07"/>
    <w:rsid w:val="001B4F37"/>
    <w:rsid w:val="001C274C"/>
    <w:rsid w:val="001C6233"/>
    <w:rsid w:val="001F09E0"/>
    <w:rsid w:val="002072AB"/>
    <w:rsid w:val="0022068C"/>
    <w:rsid w:val="002349BD"/>
    <w:rsid w:val="00254C81"/>
    <w:rsid w:val="002809C8"/>
    <w:rsid w:val="002B06B0"/>
    <w:rsid w:val="002C734C"/>
    <w:rsid w:val="002D257F"/>
    <w:rsid w:val="002E1A84"/>
    <w:rsid w:val="002F5665"/>
    <w:rsid w:val="00302199"/>
    <w:rsid w:val="00306DA7"/>
    <w:rsid w:val="0031531E"/>
    <w:rsid w:val="00331251"/>
    <w:rsid w:val="00332582"/>
    <w:rsid w:val="00343661"/>
    <w:rsid w:val="00344A4D"/>
    <w:rsid w:val="00352358"/>
    <w:rsid w:val="00364E23"/>
    <w:rsid w:val="00373546"/>
    <w:rsid w:val="00387F92"/>
    <w:rsid w:val="0039516A"/>
    <w:rsid w:val="003A11AF"/>
    <w:rsid w:val="003A279A"/>
    <w:rsid w:val="003B1CB4"/>
    <w:rsid w:val="003B3D13"/>
    <w:rsid w:val="003D02EE"/>
    <w:rsid w:val="003F048A"/>
    <w:rsid w:val="003F7198"/>
    <w:rsid w:val="004156E3"/>
    <w:rsid w:val="00424576"/>
    <w:rsid w:val="00440A7B"/>
    <w:rsid w:val="00442894"/>
    <w:rsid w:val="00461CBD"/>
    <w:rsid w:val="00464FDB"/>
    <w:rsid w:val="004C24B3"/>
    <w:rsid w:val="004C5E2E"/>
    <w:rsid w:val="004D1F56"/>
    <w:rsid w:val="004E3565"/>
    <w:rsid w:val="004E3E02"/>
    <w:rsid w:val="004E4C21"/>
    <w:rsid w:val="004F7B56"/>
    <w:rsid w:val="00516C9D"/>
    <w:rsid w:val="00520C13"/>
    <w:rsid w:val="005214BA"/>
    <w:rsid w:val="00524D1A"/>
    <w:rsid w:val="005274D1"/>
    <w:rsid w:val="00534DDD"/>
    <w:rsid w:val="0056140E"/>
    <w:rsid w:val="00574749"/>
    <w:rsid w:val="00577953"/>
    <w:rsid w:val="0058425B"/>
    <w:rsid w:val="00597A83"/>
    <w:rsid w:val="005C61D9"/>
    <w:rsid w:val="005D54FB"/>
    <w:rsid w:val="005E1291"/>
    <w:rsid w:val="005E74E8"/>
    <w:rsid w:val="00636EC4"/>
    <w:rsid w:val="00650FD5"/>
    <w:rsid w:val="00672C5D"/>
    <w:rsid w:val="006845BE"/>
    <w:rsid w:val="00692639"/>
    <w:rsid w:val="006A755D"/>
    <w:rsid w:val="006B585E"/>
    <w:rsid w:val="006D4D06"/>
    <w:rsid w:val="006F6854"/>
    <w:rsid w:val="007004AB"/>
    <w:rsid w:val="00703BBD"/>
    <w:rsid w:val="007078F9"/>
    <w:rsid w:val="00717BEC"/>
    <w:rsid w:val="007207F9"/>
    <w:rsid w:val="00725326"/>
    <w:rsid w:val="00752BC7"/>
    <w:rsid w:val="0078081E"/>
    <w:rsid w:val="007978AE"/>
    <w:rsid w:val="007B4DA3"/>
    <w:rsid w:val="007B51EA"/>
    <w:rsid w:val="007B5B84"/>
    <w:rsid w:val="007C38E3"/>
    <w:rsid w:val="007D6615"/>
    <w:rsid w:val="007E1215"/>
    <w:rsid w:val="007F5CAB"/>
    <w:rsid w:val="00815FEB"/>
    <w:rsid w:val="0082050D"/>
    <w:rsid w:val="0082191D"/>
    <w:rsid w:val="00826BD2"/>
    <w:rsid w:val="0083426C"/>
    <w:rsid w:val="00837C23"/>
    <w:rsid w:val="00860910"/>
    <w:rsid w:val="00867172"/>
    <w:rsid w:val="00882D4E"/>
    <w:rsid w:val="008A6A94"/>
    <w:rsid w:val="008B4FDB"/>
    <w:rsid w:val="008B6F3F"/>
    <w:rsid w:val="008D0ED2"/>
    <w:rsid w:val="008D146E"/>
    <w:rsid w:val="008F50B6"/>
    <w:rsid w:val="00901100"/>
    <w:rsid w:val="00910388"/>
    <w:rsid w:val="00931E67"/>
    <w:rsid w:val="0094184E"/>
    <w:rsid w:val="00947B14"/>
    <w:rsid w:val="00981F36"/>
    <w:rsid w:val="0098350D"/>
    <w:rsid w:val="0098774E"/>
    <w:rsid w:val="0099779C"/>
    <w:rsid w:val="009A2808"/>
    <w:rsid w:val="009B185C"/>
    <w:rsid w:val="009C1DD0"/>
    <w:rsid w:val="009D42A8"/>
    <w:rsid w:val="009D5508"/>
    <w:rsid w:val="009E653E"/>
    <w:rsid w:val="009F38A9"/>
    <w:rsid w:val="00A20E1A"/>
    <w:rsid w:val="00A251E5"/>
    <w:rsid w:val="00A35888"/>
    <w:rsid w:val="00A54BA4"/>
    <w:rsid w:val="00A80E32"/>
    <w:rsid w:val="00A821D0"/>
    <w:rsid w:val="00A874D1"/>
    <w:rsid w:val="00A97C2E"/>
    <w:rsid w:val="00AC5279"/>
    <w:rsid w:val="00AE0CE0"/>
    <w:rsid w:val="00B117AA"/>
    <w:rsid w:val="00B34120"/>
    <w:rsid w:val="00B3744B"/>
    <w:rsid w:val="00B5320E"/>
    <w:rsid w:val="00B63042"/>
    <w:rsid w:val="00B878D0"/>
    <w:rsid w:val="00B95F52"/>
    <w:rsid w:val="00B966EC"/>
    <w:rsid w:val="00B96CDB"/>
    <w:rsid w:val="00BB03F0"/>
    <w:rsid w:val="00C02442"/>
    <w:rsid w:val="00C07095"/>
    <w:rsid w:val="00C16621"/>
    <w:rsid w:val="00C17276"/>
    <w:rsid w:val="00C3428C"/>
    <w:rsid w:val="00C41EBF"/>
    <w:rsid w:val="00C57C57"/>
    <w:rsid w:val="00C60288"/>
    <w:rsid w:val="00C61ED5"/>
    <w:rsid w:val="00C62363"/>
    <w:rsid w:val="00C630C6"/>
    <w:rsid w:val="00C70CFB"/>
    <w:rsid w:val="00C71052"/>
    <w:rsid w:val="00C85637"/>
    <w:rsid w:val="00C914DD"/>
    <w:rsid w:val="00CB1A1A"/>
    <w:rsid w:val="00CE1616"/>
    <w:rsid w:val="00CE17B4"/>
    <w:rsid w:val="00D00469"/>
    <w:rsid w:val="00D013A6"/>
    <w:rsid w:val="00D31DC7"/>
    <w:rsid w:val="00D35A8B"/>
    <w:rsid w:val="00D45942"/>
    <w:rsid w:val="00D45F89"/>
    <w:rsid w:val="00D5307C"/>
    <w:rsid w:val="00D647E7"/>
    <w:rsid w:val="00D76C03"/>
    <w:rsid w:val="00DB2E2C"/>
    <w:rsid w:val="00DB5979"/>
    <w:rsid w:val="00DB598F"/>
    <w:rsid w:val="00E0088A"/>
    <w:rsid w:val="00E208A6"/>
    <w:rsid w:val="00E27213"/>
    <w:rsid w:val="00E36E82"/>
    <w:rsid w:val="00E50B25"/>
    <w:rsid w:val="00E80620"/>
    <w:rsid w:val="00EB3DD5"/>
    <w:rsid w:val="00EC7C2B"/>
    <w:rsid w:val="00ED544A"/>
    <w:rsid w:val="00EE13F4"/>
    <w:rsid w:val="00EE6440"/>
    <w:rsid w:val="00EE693C"/>
    <w:rsid w:val="00EF2F60"/>
    <w:rsid w:val="00F00274"/>
    <w:rsid w:val="00F01AC3"/>
    <w:rsid w:val="00F11D3D"/>
    <w:rsid w:val="00F13A55"/>
    <w:rsid w:val="00F161E3"/>
    <w:rsid w:val="00F22CED"/>
    <w:rsid w:val="00F272FC"/>
    <w:rsid w:val="00F37A6B"/>
    <w:rsid w:val="00F41255"/>
    <w:rsid w:val="00F52524"/>
    <w:rsid w:val="00F553A7"/>
    <w:rsid w:val="00F71A1B"/>
    <w:rsid w:val="00F77746"/>
    <w:rsid w:val="00F808D7"/>
    <w:rsid w:val="00FA1073"/>
    <w:rsid w:val="00FD1F65"/>
    <w:rsid w:val="00FE0C6E"/>
    <w:rsid w:val="00FF2477"/>
    <w:rsid w:val="01923454"/>
    <w:rsid w:val="020D020A"/>
    <w:rsid w:val="03611A18"/>
    <w:rsid w:val="03C5776D"/>
    <w:rsid w:val="04813ACB"/>
    <w:rsid w:val="04EC582C"/>
    <w:rsid w:val="05DA5A3E"/>
    <w:rsid w:val="074C5327"/>
    <w:rsid w:val="090746BA"/>
    <w:rsid w:val="094D3FED"/>
    <w:rsid w:val="09D81428"/>
    <w:rsid w:val="0B3D43EC"/>
    <w:rsid w:val="0C0F61E5"/>
    <w:rsid w:val="0C692972"/>
    <w:rsid w:val="0D07564B"/>
    <w:rsid w:val="0D220DDB"/>
    <w:rsid w:val="0F0A1095"/>
    <w:rsid w:val="0F5B1DBC"/>
    <w:rsid w:val="10A022C3"/>
    <w:rsid w:val="13595FE6"/>
    <w:rsid w:val="143C225E"/>
    <w:rsid w:val="14707839"/>
    <w:rsid w:val="1A9E024A"/>
    <w:rsid w:val="1ACA29D1"/>
    <w:rsid w:val="1EE45946"/>
    <w:rsid w:val="1F371190"/>
    <w:rsid w:val="1F3B7E21"/>
    <w:rsid w:val="1FF54705"/>
    <w:rsid w:val="206C7AD0"/>
    <w:rsid w:val="208F2472"/>
    <w:rsid w:val="21C625DA"/>
    <w:rsid w:val="2246244F"/>
    <w:rsid w:val="225A1C34"/>
    <w:rsid w:val="23615460"/>
    <w:rsid w:val="23747613"/>
    <w:rsid w:val="247B2597"/>
    <w:rsid w:val="24D02F41"/>
    <w:rsid w:val="24E00DDD"/>
    <w:rsid w:val="25504E0F"/>
    <w:rsid w:val="25DA6195"/>
    <w:rsid w:val="26281C07"/>
    <w:rsid w:val="29A71F47"/>
    <w:rsid w:val="29F47ABF"/>
    <w:rsid w:val="2B88597E"/>
    <w:rsid w:val="2BFB59F1"/>
    <w:rsid w:val="2C1F2B9A"/>
    <w:rsid w:val="2C783C9B"/>
    <w:rsid w:val="2E216F58"/>
    <w:rsid w:val="2E4A07B3"/>
    <w:rsid w:val="316D0094"/>
    <w:rsid w:val="31A94C48"/>
    <w:rsid w:val="32321CD2"/>
    <w:rsid w:val="35057B65"/>
    <w:rsid w:val="362577B1"/>
    <w:rsid w:val="36574234"/>
    <w:rsid w:val="37594CDC"/>
    <w:rsid w:val="3787127A"/>
    <w:rsid w:val="386B5980"/>
    <w:rsid w:val="38802CC7"/>
    <w:rsid w:val="38883787"/>
    <w:rsid w:val="38C50C9E"/>
    <w:rsid w:val="39715B35"/>
    <w:rsid w:val="3A924D4F"/>
    <w:rsid w:val="3AA66558"/>
    <w:rsid w:val="3AEC01E1"/>
    <w:rsid w:val="3BB5427C"/>
    <w:rsid w:val="3CAC4D06"/>
    <w:rsid w:val="3E665485"/>
    <w:rsid w:val="40220240"/>
    <w:rsid w:val="403F4D87"/>
    <w:rsid w:val="43C033A1"/>
    <w:rsid w:val="44043C18"/>
    <w:rsid w:val="444D1816"/>
    <w:rsid w:val="45194719"/>
    <w:rsid w:val="46240B0E"/>
    <w:rsid w:val="46352C08"/>
    <w:rsid w:val="473F2B5F"/>
    <w:rsid w:val="47B13F49"/>
    <w:rsid w:val="48C536F1"/>
    <w:rsid w:val="48FF6E54"/>
    <w:rsid w:val="49D93A77"/>
    <w:rsid w:val="4A104B25"/>
    <w:rsid w:val="4BD81567"/>
    <w:rsid w:val="4CE4330A"/>
    <w:rsid w:val="4D315885"/>
    <w:rsid w:val="4DAD16F6"/>
    <w:rsid w:val="4EFB6494"/>
    <w:rsid w:val="4F3A4C55"/>
    <w:rsid w:val="4FB255A8"/>
    <w:rsid w:val="526248C2"/>
    <w:rsid w:val="52CF37E5"/>
    <w:rsid w:val="53B060C3"/>
    <w:rsid w:val="54056B94"/>
    <w:rsid w:val="54341AC5"/>
    <w:rsid w:val="5467502C"/>
    <w:rsid w:val="547C14B4"/>
    <w:rsid w:val="54BF7AD6"/>
    <w:rsid w:val="54CD6B7D"/>
    <w:rsid w:val="54D547F1"/>
    <w:rsid w:val="58502056"/>
    <w:rsid w:val="5A3F1405"/>
    <w:rsid w:val="5E2E66F1"/>
    <w:rsid w:val="5F3C4638"/>
    <w:rsid w:val="60123788"/>
    <w:rsid w:val="60192C7D"/>
    <w:rsid w:val="602E133A"/>
    <w:rsid w:val="622D62B6"/>
    <w:rsid w:val="628570D2"/>
    <w:rsid w:val="669B5141"/>
    <w:rsid w:val="66CD6CBE"/>
    <w:rsid w:val="66F219EB"/>
    <w:rsid w:val="673C76E8"/>
    <w:rsid w:val="679643D0"/>
    <w:rsid w:val="68CD380D"/>
    <w:rsid w:val="695A54BE"/>
    <w:rsid w:val="699904FE"/>
    <w:rsid w:val="6B9E631E"/>
    <w:rsid w:val="6BD04ACA"/>
    <w:rsid w:val="6BDE0052"/>
    <w:rsid w:val="6D151B81"/>
    <w:rsid w:val="6DB03D60"/>
    <w:rsid w:val="6ED90310"/>
    <w:rsid w:val="6F77477B"/>
    <w:rsid w:val="6FC0247A"/>
    <w:rsid w:val="7124600B"/>
    <w:rsid w:val="729C27FC"/>
    <w:rsid w:val="740A1BD8"/>
    <w:rsid w:val="744F7068"/>
    <w:rsid w:val="75552541"/>
    <w:rsid w:val="76C30BB1"/>
    <w:rsid w:val="77197F9C"/>
    <w:rsid w:val="772F034E"/>
    <w:rsid w:val="77951FBF"/>
    <w:rsid w:val="77A82AA6"/>
    <w:rsid w:val="78012BF2"/>
    <w:rsid w:val="7A0221CB"/>
    <w:rsid w:val="7A834C72"/>
    <w:rsid w:val="7B3B62E0"/>
    <w:rsid w:val="7BEA4CD2"/>
    <w:rsid w:val="7C764383"/>
    <w:rsid w:val="7C83138E"/>
    <w:rsid w:val="7D927EB8"/>
    <w:rsid w:val="7DED2DE7"/>
    <w:rsid w:val="7E633F42"/>
    <w:rsid w:val="7E8543AF"/>
    <w:rsid w:val="7EA736A1"/>
    <w:rsid w:val="7EB101DC"/>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spacing w:after="0"/>
      <w:ind w:firstLine="420" w:firstLineChars="100"/>
    </w:pPr>
    <w:rPr>
      <w:szCs w:val="20"/>
    </w:rPr>
  </w:style>
  <w:style w:type="paragraph" w:styleId="3">
    <w:name w:val="Body Text"/>
    <w:basedOn w:val="1"/>
    <w:semiHidden/>
    <w:unhideWhenUsed/>
    <w:qFormat/>
    <w:uiPriority w:val="99"/>
    <w:pPr>
      <w:spacing w:after="120"/>
    </w:p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rPr>
      <w:rFonts w:ascii="Calibri" w:hAnsi="Calibri" w:eastAsia="宋体" w:cs="Times New Roman"/>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semiHidden/>
    <w:qFormat/>
    <w:uiPriority w:val="99"/>
    <w:rPr>
      <w:sz w:val="18"/>
      <w:szCs w:val="18"/>
    </w:rPr>
  </w:style>
  <w:style w:type="character" w:customStyle="1" w:styleId="15">
    <w:name w:val="批注框文本 Char"/>
    <w:basedOn w:val="10"/>
    <w:link w:val="6"/>
    <w:semiHidden/>
    <w:qFormat/>
    <w:uiPriority w:val="99"/>
    <w:rPr>
      <w:kern w:val="2"/>
      <w:sz w:val="18"/>
      <w:szCs w:val="18"/>
    </w:rPr>
  </w:style>
  <w:style w:type="character" w:customStyle="1" w:styleId="16">
    <w:name w:val="apple-converted-space"/>
    <w:basedOn w:val="10"/>
    <w:qFormat/>
    <w:uiPriority w:val="0"/>
  </w:style>
  <w:style w:type="paragraph" w:customStyle="1" w:styleId="17">
    <w:name w:val="普通(网站)1"/>
    <w:basedOn w:val="1"/>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6</Pages>
  <Words>3303</Words>
  <Characters>3374</Characters>
  <Lines>22</Lines>
  <Paragraphs>6</Paragraphs>
  <TotalTime>339</TotalTime>
  <ScaleCrop>false</ScaleCrop>
  <LinksUpToDate>false</LinksUpToDate>
  <CharactersWithSpaces>3395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2024-05-07T01:57:00Z</dcterms:created>
  <dc:creator>lenovo</dc:creator>
  <cp:lastModifiedBy>Administrator</cp:lastModifiedBy>
  <cp:lastPrinted>2025-10-21T01:04:00Z</cp:lastPrinted>
  <dcterms:modified xsi:type="dcterms:W3CDTF">2025-11-03T01:45:25Z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38A19D0D16B24F0996B6B5F4725B5858_13</vt:lpwstr>
  </property>
  <property fmtid="{D5CDD505-2E9C-101B-9397-08002B2CF9AE}" pid="4" name="KSOTemplateDocerSaveRecord">
    <vt:lpwstr>eyJoZGlkIjoiNmMxMjE3ODIzODFiZWEyYTU5NmUxMjY5MzQwYWUyM2EiLCJ1c2VySWQiOiI2NTg2OTQzMTAifQ==</vt:lpwstr>
  </property>
</Properties>
</file>