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大庆市第五医院迈瑞BS-800M生化分析仪配套试剂及耗材采购项目招标公告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rPr>
        <w:t xml:space="preserve"> </w:t>
      </w:r>
      <w:r>
        <w:rPr>
          <w:rFonts w:hint="eastAsia" w:cs="宋体" w:asciiTheme="minorEastAsia" w:hAnsiTheme="minorEastAsia" w:eastAsiaTheme="minorEastAsia"/>
          <w:bCs/>
          <w:kern w:val="0"/>
          <w:sz w:val="24"/>
          <w:lang w:val="en-US" w:eastAsia="zh-CN"/>
        </w:rPr>
        <w:t>2026006</w:t>
      </w:r>
    </w:p>
    <w:p>
      <w:pPr>
        <w:widowControl/>
        <w:spacing w:line="48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大庆市第五医院迈瑞BS-800M生化分析仪配套试剂及耗材采购项目</w:t>
      </w:r>
    </w:p>
    <w:p>
      <w:pPr>
        <w:widowControl/>
        <w:spacing w:line="48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r>
        <w:rPr>
          <w:rFonts w:hint="eastAsia" w:asciiTheme="minorEastAsia" w:hAnsiTheme="minorEastAsia" w:eastAsiaTheme="minorEastAsia"/>
          <w:bCs/>
          <w:sz w:val="24"/>
        </w:rPr>
        <w:t>投标报价所有单品必须同比例下浮</w:t>
      </w:r>
      <w:r>
        <w:rPr>
          <w:rFonts w:hint="eastAsia" w:cs="宋体" w:asciiTheme="minorEastAsia" w:hAnsiTheme="minorEastAsia" w:eastAsiaTheme="minorEastAsia"/>
          <w:bCs/>
          <w:kern w:val="0"/>
          <w:sz w:val="24"/>
        </w:rPr>
        <w:t>）</w:t>
      </w:r>
      <w:r>
        <w:rPr>
          <w:rFonts w:hint="eastAsia" w:cs="宋体" w:asciiTheme="minorEastAsia" w:hAnsiTheme="minorEastAsia"/>
          <w:bCs/>
          <w:kern w:val="0"/>
          <w:sz w:val="24"/>
        </w:rPr>
        <w:t>合同期限为</w:t>
      </w:r>
      <w:r>
        <w:rPr>
          <w:rFonts w:hint="eastAsia" w:cs="宋体" w:asciiTheme="minorEastAsia" w:hAnsiTheme="minorEastAsia"/>
          <w:bCs/>
          <w:kern w:val="0"/>
          <w:sz w:val="24"/>
          <w:lang w:eastAsia="zh-CN"/>
        </w:rPr>
        <w:t>一</w:t>
      </w:r>
      <w:r>
        <w:rPr>
          <w:rFonts w:hint="eastAsia" w:cs="宋体" w:asciiTheme="minorEastAsia" w:hAnsiTheme="minorEastAsia"/>
          <w:bCs/>
          <w:kern w:val="0"/>
          <w:sz w:val="24"/>
        </w:rPr>
        <w:t>年</w:t>
      </w:r>
    </w:p>
    <w:p>
      <w:pPr>
        <w:pStyle w:val="10"/>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14:textFill>
            <w14:solidFill>
              <w14:schemeClr w14:val="tx1"/>
            </w14:solidFill>
          </w14:textFill>
        </w:rPr>
        <w:t>：</w:t>
      </w:r>
    </w:p>
    <w:p>
      <w:pPr>
        <w:pStyle w:val="10"/>
        <w:spacing w:before="0" w:beforeAutospacing="0" w:after="0" w:afterAutospacing="0" w:line="324" w:lineRule="auto"/>
        <w:ind w:firstLine="480" w:firstLineChars="200"/>
        <w:rPr>
          <w:sz w:val="10"/>
          <w:szCs w:val="10"/>
        </w:rPr>
      </w:pPr>
      <w:r>
        <w:rPr>
          <w:rFonts w:hint="eastAsia" w:asciiTheme="minorEastAsia" w:hAnsiTheme="minorEastAsia" w:eastAsiaTheme="minorEastAsia"/>
          <w:bCs/>
          <w:color w:val="000000" w:themeColor="text1"/>
          <w14:textFill>
            <w14:solidFill>
              <w14:schemeClr w14:val="tx1"/>
            </w14:solidFill>
          </w14:textFill>
        </w:rPr>
        <w:t>见第八项报价单。</w:t>
      </w:r>
      <w:r>
        <w:rPr>
          <w:rFonts w:hint="eastAsia"/>
        </w:rPr>
        <w:t>（参与投标供应商投标报价单项超出预算价格的投标无效</w:t>
      </w:r>
      <w:r>
        <w:rPr>
          <w:rFonts w:hint="eastAsia"/>
          <w:szCs w:val="21"/>
        </w:rPr>
        <w:t>。</w:t>
      </w:r>
      <w:r>
        <w:rPr>
          <w:rFonts w:hint="eastAsia"/>
        </w:rPr>
        <w:t>）</w:t>
      </w:r>
    </w:p>
    <w:p>
      <w:pPr>
        <w:pStyle w:val="10"/>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 xml:space="preserve">年 </w:t>
      </w:r>
      <w:r>
        <w:rPr>
          <w:rFonts w:hint="eastAsia" w:asciiTheme="minorEastAsia" w:hAnsiTheme="minorEastAsia" w:eastAsiaTheme="minorEastAsia"/>
          <w:bCs/>
          <w:lang w:val="en-US" w:eastAsia="zh-CN"/>
        </w:rPr>
        <w:t>4</w:t>
      </w:r>
      <w:r>
        <w:rPr>
          <w:rFonts w:hint="eastAsia" w:asciiTheme="minorEastAsia" w:hAnsiTheme="minorEastAsia" w:eastAsiaTheme="minorEastAsia"/>
          <w:bCs/>
        </w:rPr>
        <w:t xml:space="preserve"> 月 </w:t>
      </w:r>
      <w:r>
        <w:rPr>
          <w:rFonts w:hint="eastAsia" w:asciiTheme="minorEastAsia" w:hAnsiTheme="minorEastAsia" w:eastAsiaTheme="minorEastAsia"/>
          <w:bCs/>
          <w:lang w:val="en-US" w:eastAsia="zh-CN"/>
        </w:rPr>
        <w:t>28</w:t>
      </w:r>
      <w:r>
        <w:rPr>
          <w:rFonts w:hint="eastAsia" w:asciiTheme="minorEastAsia" w:hAnsiTheme="minorEastAsia" w:eastAsiaTheme="minorEastAsia"/>
          <w:bCs/>
        </w:rPr>
        <w:t xml:space="preserve"> 日至202</w:t>
      </w:r>
      <w:r>
        <w:rPr>
          <w:rFonts w:hint="eastAsia" w:asciiTheme="minorEastAsia" w:hAnsiTheme="minorEastAsia" w:eastAsiaTheme="minorEastAsia"/>
          <w:bCs/>
          <w:lang w:val="en-US" w:eastAsia="zh-CN"/>
        </w:rPr>
        <w:t>6</w:t>
      </w:r>
      <w:r>
        <w:rPr>
          <w:rFonts w:hint="eastAsia" w:asciiTheme="minorEastAsia" w:hAnsiTheme="minorEastAsia" w:eastAsiaTheme="minorEastAsia"/>
          <w:bCs/>
        </w:rPr>
        <w:t xml:space="preserve">年 </w:t>
      </w:r>
      <w:r>
        <w:rPr>
          <w:rFonts w:hint="eastAsia" w:asciiTheme="minorEastAsia" w:hAnsiTheme="minorEastAsia" w:eastAsiaTheme="minorEastAsia"/>
          <w:bCs/>
          <w:lang w:val="en-US" w:eastAsia="zh-CN"/>
        </w:rPr>
        <w:t>4</w:t>
      </w:r>
      <w:r>
        <w:rPr>
          <w:rFonts w:hint="eastAsia" w:asciiTheme="minorEastAsia" w:hAnsiTheme="minorEastAsia" w:eastAsiaTheme="minorEastAsia"/>
          <w:bCs/>
        </w:rPr>
        <w:t xml:space="preserve"> 月 </w:t>
      </w:r>
      <w:r>
        <w:rPr>
          <w:rFonts w:hint="eastAsia" w:asciiTheme="minorEastAsia" w:hAnsiTheme="minorEastAsia" w:eastAsiaTheme="minorEastAsia"/>
          <w:bCs/>
          <w:lang w:val="en-US" w:eastAsia="zh-CN"/>
        </w:rPr>
        <w:t xml:space="preserve">30 </w:t>
      </w:r>
      <w:r>
        <w:rPr>
          <w:rFonts w:hint="eastAsia" w:asciiTheme="minorEastAsia" w:hAnsiTheme="minorEastAsia" w:eastAsiaTheme="minorEastAsia"/>
          <w:bCs/>
        </w:rPr>
        <w:t>日止</w:t>
      </w:r>
    </w:p>
    <w:p>
      <w:pPr>
        <w:pStyle w:val="10"/>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p>
    <w:p>
      <w:pPr>
        <w:pStyle w:val="10"/>
        <w:snapToGrid w:val="0"/>
        <w:spacing w:before="0" w:beforeAutospacing="0" w:after="0" w:afterAutospacing="0" w:line="348"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10"/>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pPr>
        <w:pStyle w:val="10"/>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napToGrid w:val="0"/>
        <w:spacing w:line="348" w:lineRule="auto"/>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pPr>
        <w:snapToGrid w:val="0"/>
        <w:spacing w:line="348" w:lineRule="auto"/>
        <w:rPr>
          <w:rFonts w:hint="eastAsia" w:ascii="宋体" w:hAnsi="宋体" w:cs="宋体"/>
          <w:sz w:val="24"/>
        </w:rPr>
      </w:pPr>
      <w:r>
        <w:rPr>
          <w:rFonts w:hint="eastAsia" w:ascii="宋体" w:hAnsi="宋体" w:cs="宋体"/>
          <w:sz w:val="24"/>
        </w:rPr>
        <w:t>12、能与我院迈瑞BS-800M生化分析仪配套使用。</w:t>
      </w:r>
    </w:p>
    <w:p>
      <w:pPr>
        <w:snapToGrid w:val="0"/>
        <w:spacing w:line="348" w:lineRule="auto"/>
        <w:rPr>
          <w:rFonts w:ascii="宋体" w:hAnsi="宋体" w:cs="宋体"/>
          <w:sz w:val="24"/>
        </w:rPr>
      </w:pPr>
      <w:r>
        <w:rPr>
          <w:rFonts w:hint="eastAsia" w:ascii="宋体" w:hAnsi="宋体" w:cs="宋体"/>
          <w:sz w:val="24"/>
        </w:rPr>
        <w:t>13、来院索参。</w:t>
      </w:r>
    </w:p>
    <w:p>
      <w:pPr>
        <w:pStyle w:val="10"/>
        <w:spacing w:before="0" w:beforeAutospacing="0" w:after="0" w:afterAutospacing="0" w:line="348" w:lineRule="auto"/>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七、报名时间及地点</w:t>
      </w:r>
    </w:p>
    <w:p>
      <w:pPr>
        <w:pStyle w:val="10"/>
        <w:spacing w:before="0" w:beforeAutospacing="0" w:after="0" w:afterAutospacing="0" w:line="348" w:lineRule="auto"/>
        <w:rPr>
          <w:rFonts w:asciiTheme="minorEastAsia" w:hAnsiTheme="minorEastAsia"/>
        </w:rPr>
      </w:pPr>
      <w:r>
        <w:rPr>
          <w:rFonts w:hint="eastAsia" w:asciiTheme="minorEastAsia" w:hAnsiTheme="minorEastAsia"/>
        </w:rPr>
        <w:t>投标人于202</w:t>
      </w:r>
      <w:r>
        <w:rPr>
          <w:rFonts w:hint="eastAsia" w:asciiTheme="minorEastAsia" w:hAnsiTheme="minorEastAsia"/>
          <w:lang w:val="en-US" w:eastAsia="zh-CN"/>
        </w:rPr>
        <w:t>6</w:t>
      </w:r>
      <w:r>
        <w:rPr>
          <w:rFonts w:hint="eastAsia" w:asciiTheme="minorEastAsia" w:hAnsiTheme="minorEastAsia"/>
        </w:rPr>
        <w:t xml:space="preserve">年 </w:t>
      </w:r>
      <w:r>
        <w:rPr>
          <w:rFonts w:hint="eastAsia" w:asciiTheme="minorEastAsia" w:hAnsiTheme="minorEastAsia"/>
          <w:lang w:val="en-US" w:eastAsia="zh-CN"/>
        </w:rPr>
        <w:t>4</w:t>
      </w:r>
      <w:r>
        <w:rPr>
          <w:rFonts w:hint="eastAsia" w:asciiTheme="minorEastAsia" w:hAnsiTheme="minorEastAsia"/>
        </w:rPr>
        <w:t xml:space="preserve"> 月 </w:t>
      </w:r>
      <w:r>
        <w:rPr>
          <w:rFonts w:hint="eastAsia" w:asciiTheme="minorEastAsia" w:hAnsiTheme="minorEastAsia"/>
          <w:lang w:val="en-US" w:eastAsia="zh-CN"/>
        </w:rPr>
        <w:t>30</w:t>
      </w:r>
      <w:r>
        <w:rPr>
          <w:rFonts w:hint="eastAsia" w:asciiTheme="minorEastAsia" w:hAnsiTheme="minorEastAsia"/>
        </w:rPr>
        <w:t xml:space="preserve"> 日</w:t>
      </w:r>
      <w:r>
        <w:rPr>
          <w:rFonts w:hint="eastAsia" w:asciiTheme="minorEastAsia" w:hAnsiTheme="minorEastAsia"/>
          <w:lang w:val="en-US" w:eastAsia="zh-CN"/>
        </w:rPr>
        <w:t>16</w:t>
      </w:r>
      <w:r>
        <w:rPr>
          <w:rFonts w:hint="eastAsia" w:asciiTheme="minorEastAsia" w:hAnsiTheme="minorEastAsia"/>
        </w:rPr>
        <w:t>时前到大庆市第五医院二部机关楼一楼</w:t>
      </w:r>
      <w:r>
        <w:rPr>
          <w:rFonts w:hint="eastAsia" w:asciiTheme="minorEastAsia" w:hAnsiTheme="minorEastAsia"/>
          <w:lang w:val="en-US" w:eastAsia="zh-CN"/>
        </w:rPr>
        <w:t>109</w:t>
      </w:r>
      <w:r>
        <w:rPr>
          <w:rFonts w:hint="eastAsia" w:asciiTheme="minorEastAsia" w:hAnsiTheme="minorEastAsia"/>
        </w:rPr>
        <w:t>室递交以下材料：</w:t>
      </w:r>
    </w:p>
    <w:p>
      <w:pPr>
        <w:pStyle w:val="10"/>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pPr>
        <w:pStyle w:val="10"/>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pPr>
        <w:pStyle w:val="10"/>
        <w:numPr>
          <w:ilvl w:val="0"/>
          <w:numId w:val="1"/>
        </w:numPr>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10"/>
        <w:spacing w:before="0" w:beforeAutospacing="0" w:after="0" w:afterAutospacing="0" w:line="348" w:lineRule="auto"/>
        <w:rPr>
          <w:rFonts w:hint="eastAsia" w:asciiTheme="minorEastAsia" w:hAnsiTheme="minorEastAsia" w:eastAsiaTheme="minorEastAsia"/>
          <w:lang w:val="en-US" w:eastAsia="zh-CN"/>
        </w:rPr>
      </w:pPr>
      <w:r>
        <w:rPr>
          <w:rFonts w:hint="eastAsia" w:asciiTheme="minorEastAsia" w:hAnsiTheme="minorEastAsia" w:eastAsiaTheme="minorEastAsia"/>
        </w:rPr>
        <w:t>联系人：</w:t>
      </w:r>
      <w:r>
        <w:rPr>
          <w:rFonts w:hint="eastAsia" w:asciiTheme="minorEastAsia" w:hAnsiTheme="minorEastAsia" w:eastAsiaTheme="minorEastAsia"/>
          <w:lang w:eastAsia="zh-CN"/>
        </w:rPr>
        <w:t>周卫洁</w:t>
      </w:r>
    </w:p>
    <w:p>
      <w:pPr>
        <w:pStyle w:val="10"/>
        <w:spacing w:before="0" w:beforeAutospacing="0" w:after="0" w:afterAutospacing="0" w:line="348" w:lineRule="auto"/>
        <w:rPr>
          <w:rFonts w:hint="default" w:asciiTheme="minorEastAsia" w:hAnsiTheme="minorEastAsia" w:eastAsiaTheme="minorEastAsia"/>
          <w:lang w:val="en-US" w:eastAsia="zh-CN"/>
        </w:rPr>
      </w:pPr>
      <w:r>
        <w:rPr>
          <w:rFonts w:hint="eastAsia" w:asciiTheme="minorEastAsia" w:hAnsiTheme="minorEastAsia" w:eastAsiaTheme="minorEastAsia"/>
        </w:rPr>
        <w:t>电话：0459-</w:t>
      </w:r>
      <w:r>
        <w:rPr>
          <w:rFonts w:hint="eastAsia" w:asciiTheme="minorEastAsia" w:hAnsiTheme="minorEastAsia" w:eastAsiaTheme="minorEastAsia"/>
          <w:lang w:val="en-US" w:eastAsia="zh-CN"/>
        </w:rPr>
        <w:t>6705858</w:t>
      </w:r>
    </w:p>
    <w:p>
      <w:pPr>
        <w:pStyle w:val="10"/>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10"/>
        <w:spacing w:before="0" w:beforeAutospacing="0" w:after="0" w:afterAutospacing="0" w:line="480" w:lineRule="exact"/>
        <w:ind w:left="-708"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10"/>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tbl>
      <w:tblPr>
        <w:tblStyle w:val="13"/>
        <w:tblW w:w="10316" w:type="dxa"/>
        <w:jc w:val="center"/>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430"/>
        <w:gridCol w:w="819"/>
        <w:gridCol w:w="811"/>
        <w:gridCol w:w="709"/>
        <w:gridCol w:w="708"/>
        <w:gridCol w:w="709"/>
        <w:gridCol w:w="1170"/>
        <w:gridCol w:w="956"/>
        <w:gridCol w:w="709"/>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500"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430"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采购产品名称</w:t>
            </w:r>
          </w:p>
        </w:tc>
        <w:tc>
          <w:tcPr>
            <w:tcW w:w="819" w:type="dxa"/>
            <w:vAlign w:val="center"/>
          </w:tcPr>
          <w:p>
            <w:pPr>
              <w:widowControl/>
              <w:jc w:val="center"/>
              <w:rPr>
                <w:rFonts w:ascii="宋体" w:hAnsi="宋体" w:cs="宋体"/>
                <w:bCs/>
                <w:kern w:val="0"/>
                <w:szCs w:val="21"/>
              </w:rPr>
            </w:pPr>
            <w:r>
              <w:rPr>
                <w:rFonts w:hint="eastAsia" w:ascii="宋体" w:hAnsi="宋体" w:cs="宋体"/>
                <w:bCs/>
                <w:kern w:val="0"/>
                <w:szCs w:val="21"/>
              </w:rPr>
              <w:t>投标产品名称</w:t>
            </w:r>
          </w:p>
        </w:tc>
        <w:tc>
          <w:tcPr>
            <w:tcW w:w="811"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709"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708" w:type="dxa"/>
            <w:vAlign w:val="center"/>
          </w:tcPr>
          <w:p>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709" w:type="dxa"/>
            <w:vAlign w:val="center"/>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170" w:type="dxa"/>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956" w:type="dxa"/>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709" w:type="dxa"/>
            <w:vAlign w:val="center"/>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1795" w:type="dxa"/>
            <w:vAlign w:val="center"/>
          </w:tcPr>
          <w:p>
            <w:pPr>
              <w:widowControl/>
              <w:ind w:firstLine="105" w:firstLineChars="50"/>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rPr>
              <w:t>1</w:t>
            </w:r>
          </w:p>
        </w:tc>
        <w:tc>
          <w:tcPr>
            <w:tcW w:w="1430" w:type="dxa"/>
            <w:shd w:val="clear" w:color="auto" w:fill="auto"/>
            <w:vAlign w:val="center"/>
          </w:tcPr>
          <w:p>
            <w:pPr>
              <w:spacing w:line="297" w:lineRule="auto"/>
              <w:jc w:val="center"/>
              <w:rPr>
                <w:rFonts w:cs="宋体" w:asciiTheme="minorEastAsia" w:hAnsiTheme="minorEastAsia" w:eastAsiaTheme="minorEastAsia"/>
                <w:sz w:val="18"/>
                <w:szCs w:val="18"/>
              </w:rPr>
            </w:pPr>
            <w:r>
              <w:rPr>
                <w:rFonts w:hint="eastAsia" w:ascii="宋体" w:hAnsi="宋体"/>
                <w:color w:val="000000"/>
                <w:sz w:val="19"/>
              </w:rPr>
              <w:t>糖化血红蛋白（</w:t>
            </w:r>
            <w:r>
              <w:rPr>
                <w:rFonts w:hint="eastAsia" w:ascii="Calibri" w:hAnsi="Calibri" w:eastAsia="Calibri"/>
                <w:color w:val="000000"/>
                <w:sz w:val="19"/>
              </w:rPr>
              <w:t>HbA1c</w:t>
            </w:r>
            <w:r>
              <w:rPr>
                <w:rFonts w:hint="eastAsia" w:ascii="宋体" w:hAnsi="宋体"/>
                <w:color w:val="000000"/>
                <w:sz w:val="19"/>
              </w:rPr>
              <w:t>）（含校准品）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22.86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含校准品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1430" w:type="dxa"/>
            <w:shd w:val="clear" w:color="auto" w:fill="auto"/>
            <w:vAlign w:val="center"/>
          </w:tcPr>
          <w:p>
            <w:pPr>
              <w:spacing w:before="27" w:line="239" w:lineRule="auto"/>
              <w:jc w:val="center"/>
              <w:rPr>
                <w:rFonts w:cs="宋体" w:asciiTheme="minorEastAsia" w:hAnsiTheme="minorEastAsia" w:eastAsiaTheme="minorEastAsia"/>
                <w:sz w:val="18"/>
                <w:szCs w:val="18"/>
              </w:rPr>
            </w:pPr>
            <w:r>
              <w:rPr>
                <w:rFonts w:hint="eastAsia" w:ascii="Calibri" w:hAnsi="Calibri" w:eastAsia="Calibri"/>
                <w:color w:val="000000"/>
                <w:sz w:val="18"/>
                <w:szCs w:val="22"/>
              </w:rPr>
              <w:t>C-</w:t>
            </w:r>
            <w:r>
              <w:rPr>
                <w:rFonts w:hint="eastAsia" w:ascii="宋体" w:hAnsi="宋体"/>
                <w:color w:val="000000"/>
                <w:sz w:val="18"/>
                <w:szCs w:val="22"/>
              </w:rPr>
              <w:t>反应蛋白</w:t>
            </w:r>
            <w:r>
              <w:rPr>
                <w:rFonts w:hint="eastAsia" w:ascii="Calibri" w:hAnsi="Calibri" w:eastAsia="Calibri"/>
                <w:color w:val="000000"/>
                <w:sz w:val="18"/>
                <w:szCs w:val="22"/>
              </w:rPr>
              <w:t>（CRP）</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5.53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cs="宋体" w:asciiTheme="minorEastAsia" w:hAnsiTheme="minorEastAsia" w:eastAsiaTheme="minorEastAsia"/>
                <w:kern w:val="0"/>
                <w:sz w:val="18"/>
                <w:szCs w:val="18"/>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1430" w:type="dxa"/>
            <w:shd w:val="clear" w:color="auto" w:fill="auto"/>
            <w:vAlign w:val="center"/>
          </w:tcPr>
          <w:p>
            <w:pPr>
              <w:spacing w:line="278" w:lineRule="auto"/>
              <w:jc w:val="center"/>
              <w:rPr>
                <w:rFonts w:cs="宋体" w:asciiTheme="minorEastAsia" w:hAnsiTheme="minorEastAsia" w:eastAsiaTheme="minorEastAsia"/>
                <w:sz w:val="18"/>
                <w:szCs w:val="18"/>
              </w:rPr>
            </w:pPr>
            <w:r>
              <w:rPr>
                <w:rFonts w:hint="eastAsia" w:ascii="宋体" w:hAnsi="宋体"/>
                <w:color w:val="000000"/>
                <w:sz w:val="18"/>
                <w:szCs w:val="22"/>
              </w:rPr>
              <w:t>抗链球菌溶血素“</w:t>
            </w:r>
            <w:r>
              <w:rPr>
                <w:rFonts w:hint="eastAsia" w:ascii="Calibri" w:hAnsi="Calibri" w:eastAsia="Calibri"/>
                <w:color w:val="000000"/>
                <w:sz w:val="18"/>
                <w:szCs w:val="22"/>
              </w:rPr>
              <w:t>0</w:t>
            </w:r>
            <w:r>
              <w:rPr>
                <w:rFonts w:hint="eastAsia" w:ascii="宋体" w:hAnsi="宋体"/>
                <w:color w:val="000000"/>
                <w:sz w:val="18"/>
                <w:szCs w:val="22"/>
              </w:rPr>
              <w:t>（含校准品）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15.28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cs="宋体" w:asciiTheme="minorEastAsia" w:hAnsiTheme="minorEastAsia" w:eastAsiaTheme="minorEastAsia"/>
                <w:kern w:val="0"/>
                <w:sz w:val="18"/>
                <w:szCs w:val="18"/>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含校准品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1430" w:type="dxa"/>
            <w:shd w:val="clear" w:color="auto" w:fill="auto"/>
            <w:vAlign w:val="center"/>
          </w:tcPr>
          <w:p>
            <w:pPr>
              <w:spacing w:line="312" w:lineRule="auto"/>
              <w:jc w:val="center"/>
              <w:rPr>
                <w:rFonts w:cs="宋体" w:asciiTheme="minorEastAsia" w:hAnsiTheme="minorEastAsia" w:eastAsiaTheme="minorEastAsia"/>
                <w:sz w:val="18"/>
                <w:szCs w:val="18"/>
              </w:rPr>
            </w:pPr>
            <w:r>
              <w:rPr>
                <w:rFonts w:hint="eastAsia" w:ascii="宋体" w:hAnsi="宋体"/>
                <w:color w:val="000000"/>
                <w:sz w:val="18"/>
                <w:szCs w:val="22"/>
              </w:rPr>
              <w:t>类风湿因子（</w:t>
            </w:r>
            <w:r>
              <w:rPr>
                <w:rFonts w:hint="eastAsia" w:ascii="Calibri" w:hAnsi="Calibri" w:eastAsia="Calibri"/>
                <w:color w:val="000000"/>
                <w:sz w:val="18"/>
                <w:szCs w:val="22"/>
              </w:rPr>
              <w:t>RF</w:t>
            </w:r>
            <w:r>
              <w:rPr>
                <w:rFonts w:hint="eastAsia" w:ascii="宋体" w:hAnsi="宋体"/>
                <w:color w:val="000000"/>
                <w:sz w:val="18"/>
                <w:szCs w:val="22"/>
              </w:rPr>
              <w:t>）测定试剂盒（含校准品）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17.15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p>
        </w:tc>
        <w:tc>
          <w:tcPr>
            <w:tcW w:w="1430" w:type="dxa"/>
            <w:shd w:val="clear" w:color="auto" w:fill="auto"/>
            <w:vAlign w:val="center"/>
          </w:tcPr>
          <w:p>
            <w:pPr>
              <w:spacing w:before="5" w:line="239" w:lineRule="auto"/>
              <w:jc w:val="center"/>
              <w:rPr>
                <w:rFonts w:cs="宋体" w:asciiTheme="minorEastAsia" w:hAnsiTheme="minorEastAsia" w:eastAsiaTheme="minorEastAsia"/>
                <w:sz w:val="18"/>
                <w:szCs w:val="18"/>
              </w:rPr>
            </w:pPr>
            <w:r>
              <w:rPr>
                <w:rFonts w:hint="eastAsia" w:ascii="宋体" w:hAnsi="宋体"/>
                <w:color w:val="000000"/>
                <w:sz w:val="19"/>
              </w:rPr>
              <w:t>钾钠氯离子电极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套</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18414.60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b/>
                <w:bCs/>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w:t>
            </w:r>
          </w:p>
        </w:tc>
        <w:tc>
          <w:tcPr>
            <w:tcW w:w="1430" w:type="dxa"/>
            <w:shd w:val="clear" w:color="auto" w:fill="auto"/>
            <w:vAlign w:val="center"/>
          </w:tcPr>
          <w:p>
            <w:pPr>
              <w:spacing w:before="28" w:line="239" w:lineRule="auto"/>
              <w:jc w:val="center"/>
              <w:rPr>
                <w:rFonts w:cs="宋体" w:asciiTheme="minorEastAsia" w:hAnsiTheme="minorEastAsia" w:eastAsiaTheme="minorEastAsia"/>
                <w:sz w:val="18"/>
                <w:szCs w:val="18"/>
              </w:rPr>
            </w:pPr>
            <w:r>
              <w:rPr>
                <w:rFonts w:hint="eastAsia" w:ascii="宋体" w:hAnsi="宋体"/>
                <w:color w:val="000000"/>
                <w:sz w:val="19"/>
              </w:rPr>
              <w:t>样本稀释液</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升</w:t>
            </w:r>
          </w:p>
        </w:tc>
        <w:tc>
          <w:tcPr>
            <w:tcW w:w="708"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454.96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w:t>
            </w:r>
          </w:p>
        </w:tc>
        <w:tc>
          <w:tcPr>
            <w:tcW w:w="1430" w:type="dxa"/>
            <w:shd w:val="clear" w:color="auto" w:fill="auto"/>
            <w:vAlign w:val="center"/>
          </w:tcPr>
          <w:p>
            <w:pPr>
              <w:spacing w:before="10" w:line="239" w:lineRule="auto"/>
              <w:jc w:val="center"/>
              <w:rPr>
                <w:rFonts w:cs="宋体" w:asciiTheme="minorEastAsia" w:hAnsiTheme="minorEastAsia" w:eastAsiaTheme="minorEastAsia"/>
                <w:sz w:val="18"/>
                <w:szCs w:val="18"/>
              </w:rPr>
            </w:pPr>
            <w:r>
              <w:rPr>
                <w:rFonts w:hint="eastAsia" w:ascii="Calibri" w:hAnsi="Calibri" w:eastAsia="Calibri"/>
                <w:color w:val="000000"/>
                <w:sz w:val="19"/>
              </w:rPr>
              <w:t>ISE</w:t>
            </w:r>
            <w:r>
              <w:rPr>
                <w:rFonts w:hint="eastAsia" w:ascii="宋体" w:hAnsi="宋体"/>
                <w:color w:val="000000"/>
                <w:sz w:val="19"/>
              </w:rPr>
              <w:t>清洗液</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4.23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w:t>
            </w:r>
          </w:p>
        </w:tc>
        <w:tc>
          <w:tcPr>
            <w:tcW w:w="1430" w:type="dxa"/>
            <w:shd w:val="clear" w:color="auto" w:fill="auto"/>
            <w:vAlign w:val="center"/>
          </w:tcPr>
          <w:p>
            <w:pPr>
              <w:spacing w:line="230" w:lineRule="auto"/>
              <w:jc w:val="center"/>
              <w:rPr>
                <w:rFonts w:cs="宋体" w:asciiTheme="minorEastAsia" w:hAnsiTheme="minorEastAsia" w:eastAsiaTheme="minorEastAsia"/>
                <w:sz w:val="18"/>
                <w:szCs w:val="18"/>
              </w:rPr>
            </w:pPr>
            <w:r>
              <w:rPr>
                <w:rFonts w:hint="eastAsia" w:ascii="Calibri" w:hAnsi="Calibri" w:eastAsia="Calibri"/>
                <w:color w:val="000000"/>
                <w:sz w:val="19"/>
              </w:rPr>
              <w:t>ISE</w:t>
            </w:r>
            <w:r>
              <w:rPr>
                <w:rFonts w:hint="eastAsia" w:ascii="宋体" w:hAnsi="宋体"/>
                <w:color w:val="000000"/>
                <w:sz w:val="19"/>
              </w:rPr>
              <w:t>血清定标液</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3.31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（高低浓度各1瓶）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w:t>
            </w:r>
          </w:p>
        </w:tc>
        <w:tc>
          <w:tcPr>
            <w:tcW w:w="1430" w:type="dxa"/>
            <w:shd w:val="clear" w:color="auto" w:fill="auto"/>
            <w:vAlign w:val="center"/>
          </w:tcPr>
          <w:p>
            <w:pPr>
              <w:spacing w:before="15" w:line="239" w:lineRule="auto"/>
              <w:jc w:val="center"/>
              <w:rPr>
                <w:rFonts w:cs="宋体" w:asciiTheme="minorEastAsia" w:hAnsiTheme="minorEastAsia" w:eastAsiaTheme="minorEastAsia"/>
                <w:sz w:val="18"/>
                <w:szCs w:val="18"/>
              </w:rPr>
            </w:pPr>
            <w:r>
              <w:rPr>
                <w:rFonts w:hint="eastAsia" w:ascii="Calibri" w:hAnsi="Calibri" w:eastAsia="Calibri"/>
                <w:color w:val="000000"/>
                <w:sz w:val="19"/>
              </w:rPr>
              <w:t>ISE Na／K</w:t>
            </w:r>
            <w:r>
              <w:rPr>
                <w:rFonts w:hint="eastAsia" w:ascii="宋体" w:hAnsi="宋体"/>
                <w:color w:val="000000"/>
                <w:sz w:val="19"/>
              </w:rPr>
              <w:t>检验溶液</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6.58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（Na/K检测溶液）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w:t>
            </w:r>
          </w:p>
        </w:tc>
        <w:tc>
          <w:tcPr>
            <w:tcW w:w="1430" w:type="dxa"/>
            <w:shd w:val="clear" w:color="auto" w:fill="auto"/>
            <w:vAlign w:val="center"/>
          </w:tcPr>
          <w:p>
            <w:pPr>
              <w:spacing w:before="58" w:line="239" w:lineRule="auto"/>
              <w:jc w:val="center"/>
              <w:rPr>
                <w:rFonts w:cs="宋体" w:asciiTheme="minorEastAsia" w:hAnsiTheme="minorEastAsia" w:eastAsiaTheme="minorEastAsia"/>
                <w:sz w:val="18"/>
                <w:szCs w:val="18"/>
              </w:rPr>
            </w:pPr>
            <w:r>
              <w:rPr>
                <w:rFonts w:hint="eastAsia" w:ascii="宋体" w:hAnsi="宋体"/>
                <w:color w:val="000000"/>
                <w:sz w:val="19"/>
              </w:rPr>
              <w:t>生化分析仪用清洗液</w:t>
            </w:r>
            <w:r>
              <w:rPr>
                <w:rFonts w:hint="eastAsia" w:ascii="Calibri" w:hAnsi="Calibri" w:eastAsia="Calibri"/>
                <w:color w:val="000000"/>
                <w:sz w:val="19"/>
              </w:rPr>
              <w:t>CD80</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155.10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11</w:t>
            </w:r>
          </w:p>
        </w:tc>
        <w:tc>
          <w:tcPr>
            <w:tcW w:w="1430" w:type="dxa"/>
            <w:shd w:val="clear" w:color="auto" w:fill="auto"/>
            <w:vAlign w:val="center"/>
          </w:tcPr>
          <w:p>
            <w:pPr>
              <w:spacing w:before="42" w:line="239" w:lineRule="auto"/>
              <w:jc w:val="center"/>
              <w:rPr>
                <w:rFonts w:cs="宋体" w:asciiTheme="minorEastAsia" w:hAnsiTheme="minorEastAsia" w:eastAsiaTheme="minorEastAsia"/>
                <w:sz w:val="18"/>
                <w:szCs w:val="18"/>
              </w:rPr>
            </w:pPr>
            <w:r>
              <w:rPr>
                <w:rFonts w:hint="eastAsia" w:ascii="宋体" w:hAnsi="宋体"/>
                <w:color w:val="000000"/>
                <w:sz w:val="19"/>
              </w:rPr>
              <w:t>生化分析仪用清洗液</w:t>
            </w:r>
            <w:r>
              <w:rPr>
                <w:rFonts w:hint="eastAsia" w:ascii="Calibri" w:hAnsi="Calibri" w:eastAsia="Calibri"/>
                <w:color w:val="000000"/>
                <w:sz w:val="19"/>
              </w:rPr>
              <w:t>A</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0.61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12</w:t>
            </w:r>
          </w:p>
        </w:tc>
        <w:tc>
          <w:tcPr>
            <w:tcW w:w="1430" w:type="dxa"/>
            <w:shd w:val="clear" w:color="auto" w:fill="auto"/>
            <w:vAlign w:val="center"/>
          </w:tcPr>
          <w:p>
            <w:pPr>
              <w:spacing w:before="44" w:line="239" w:lineRule="auto"/>
              <w:jc w:val="center"/>
              <w:rPr>
                <w:rFonts w:cs="宋体" w:asciiTheme="minorEastAsia" w:hAnsiTheme="minorEastAsia" w:eastAsiaTheme="minorEastAsia"/>
                <w:sz w:val="18"/>
                <w:szCs w:val="18"/>
              </w:rPr>
            </w:pPr>
            <w:r>
              <w:rPr>
                <w:rFonts w:hint="eastAsia" w:ascii="宋体" w:hAnsi="宋体"/>
                <w:color w:val="000000"/>
                <w:sz w:val="19"/>
              </w:rPr>
              <w:t>生化分析仪用清洗液</w:t>
            </w:r>
            <w:r>
              <w:rPr>
                <w:rFonts w:hint="eastAsia" w:ascii="Calibri" w:hAnsi="Calibri" w:eastAsia="Calibri"/>
                <w:color w:val="000000"/>
                <w:sz w:val="19"/>
              </w:rPr>
              <w:t>B</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0.61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1430" w:type="dxa"/>
            <w:shd w:val="clear" w:color="auto" w:fill="auto"/>
            <w:vAlign w:val="center"/>
          </w:tcPr>
          <w:p>
            <w:pPr>
              <w:spacing w:before="106" w:line="239" w:lineRule="auto"/>
              <w:jc w:val="center"/>
              <w:rPr>
                <w:rFonts w:cs="宋体" w:asciiTheme="minorEastAsia" w:hAnsiTheme="minorEastAsia" w:eastAsiaTheme="minorEastAsia"/>
                <w:sz w:val="18"/>
                <w:szCs w:val="18"/>
              </w:rPr>
            </w:pPr>
            <w:r>
              <w:rPr>
                <w:rFonts w:hint="eastAsia" w:ascii="宋体" w:hAnsi="宋体"/>
                <w:color w:val="000000"/>
                <w:sz w:val="19"/>
              </w:rPr>
              <w:t>常规生化复合校准品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39.17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bookmarkStart w:id="0" w:name="_GoBack"/>
            <w:bookmarkEnd w:id="0"/>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含ALB,ALP,ALT,AMY,AST,D-bil, T-bil,Ca, TC, CK, CREA ,Glu,γ-GT,α-HBDH, LDH, Mg, P, TP, TG, UREA, UA,CHE，LIP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14</w:t>
            </w:r>
          </w:p>
        </w:tc>
        <w:tc>
          <w:tcPr>
            <w:tcW w:w="1430" w:type="dxa"/>
            <w:shd w:val="clear" w:color="auto" w:fill="auto"/>
            <w:vAlign w:val="center"/>
          </w:tcPr>
          <w:p>
            <w:pPr>
              <w:spacing w:before="140" w:line="239" w:lineRule="auto"/>
              <w:jc w:val="center"/>
              <w:rPr>
                <w:rFonts w:cs="宋体" w:asciiTheme="minorEastAsia" w:hAnsiTheme="minorEastAsia" w:eastAsiaTheme="minorEastAsia"/>
                <w:sz w:val="18"/>
                <w:szCs w:val="18"/>
              </w:rPr>
            </w:pPr>
            <w:r>
              <w:rPr>
                <w:rFonts w:hint="eastAsia" w:ascii="宋体" w:hAnsi="宋体"/>
                <w:color w:val="000000"/>
                <w:sz w:val="19"/>
              </w:rPr>
              <w:t>脂类校准品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258.50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含ApoA1,ApoB,HDL-C,LDL-C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15</w:t>
            </w:r>
          </w:p>
        </w:tc>
        <w:tc>
          <w:tcPr>
            <w:tcW w:w="1430" w:type="dxa"/>
            <w:shd w:val="clear" w:color="auto" w:fill="auto"/>
            <w:vAlign w:val="center"/>
          </w:tcPr>
          <w:p>
            <w:pPr>
              <w:spacing w:before="103" w:line="239" w:lineRule="auto"/>
              <w:jc w:val="center"/>
              <w:rPr>
                <w:rFonts w:cs="宋体" w:asciiTheme="minorEastAsia" w:hAnsiTheme="minorEastAsia" w:eastAsiaTheme="minorEastAsia"/>
                <w:sz w:val="18"/>
                <w:szCs w:val="18"/>
              </w:rPr>
            </w:pPr>
            <w:r>
              <w:rPr>
                <w:rFonts w:hint="eastAsia" w:ascii="Calibri" w:hAnsi="Calibri" w:eastAsia="Calibri"/>
                <w:color w:val="000000"/>
                <w:sz w:val="19"/>
              </w:rPr>
              <w:t>HbA1c</w:t>
            </w:r>
            <w:r>
              <w:rPr>
                <w:rFonts w:hint="eastAsia" w:ascii="宋体" w:hAnsi="宋体"/>
                <w:color w:val="000000"/>
                <w:sz w:val="19"/>
              </w:rPr>
              <w:t>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775.50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HbA1c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16</w:t>
            </w:r>
          </w:p>
        </w:tc>
        <w:tc>
          <w:tcPr>
            <w:tcW w:w="1430" w:type="dxa"/>
            <w:shd w:val="clear" w:color="auto" w:fill="auto"/>
            <w:vAlign w:val="center"/>
          </w:tcPr>
          <w:p>
            <w:pPr>
              <w:spacing w:before="205" w:line="312" w:lineRule="auto"/>
              <w:jc w:val="center"/>
              <w:rPr>
                <w:rFonts w:cs="宋体" w:asciiTheme="minorEastAsia" w:hAnsiTheme="minorEastAsia" w:eastAsiaTheme="minorEastAsia"/>
                <w:sz w:val="18"/>
                <w:szCs w:val="18"/>
              </w:rPr>
            </w:pPr>
            <w:r>
              <w:rPr>
                <w:rFonts w:hint="eastAsia" w:ascii="宋体" w:hAnsi="宋体"/>
                <w:color w:val="000000"/>
                <w:sz w:val="18"/>
                <w:szCs w:val="22"/>
              </w:rPr>
              <w:t>生化复合定值质控品（水平</w:t>
            </w:r>
            <w:r>
              <w:rPr>
                <w:rFonts w:hint="eastAsia" w:ascii="Calibri" w:hAnsi="Calibri" w:eastAsia="Calibri"/>
                <w:color w:val="000000"/>
                <w:sz w:val="19"/>
              </w:rPr>
              <w:t>1)</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41.36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含ALT、AST、ALP、GGT、LDH、HBDH、AMY、CK、TB-DSA、DB-DSA、DB-V、TB-V、Glu-O、Glu-HK、Crea-J、Crea-S、TP、Alb、Urea、UA、Ca、Mg、P、Fe、UIBC、LIP、CHE、Na+、K +、Cl-、TC、TG、HDL-C、LDL-C 、ApoA1、ApoB、IgA、IgG、IgM、C3、C4、CRP、PA、CK-MB、FER、TRF、HS-CRP、ASO、ASOII、FR-CRP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17</w:t>
            </w:r>
          </w:p>
        </w:tc>
        <w:tc>
          <w:tcPr>
            <w:tcW w:w="1430" w:type="dxa"/>
            <w:shd w:val="clear" w:color="auto" w:fill="auto"/>
            <w:vAlign w:val="center"/>
          </w:tcPr>
          <w:p>
            <w:pPr>
              <w:spacing w:before="67" w:line="312" w:lineRule="auto"/>
              <w:jc w:val="center"/>
              <w:rPr>
                <w:rFonts w:cs="宋体" w:asciiTheme="minorEastAsia" w:hAnsiTheme="minorEastAsia" w:eastAsiaTheme="minorEastAsia"/>
                <w:sz w:val="18"/>
                <w:szCs w:val="18"/>
              </w:rPr>
            </w:pPr>
            <w:r>
              <w:rPr>
                <w:rFonts w:hint="eastAsia" w:ascii="宋体" w:hAnsi="宋体"/>
                <w:color w:val="000000"/>
                <w:sz w:val="19"/>
              </w:rPr>
              <w:t>生化复合定值质控品（水平</w:t>
            </w:r>
            <w:r>
              <w:rPr>
                <w:rFonts w:hint="eastAsia" w:ascii="Calibri" w:hAnsi="Calibri" w:eastAsia="Calibri"/>
                <w:color w:val="000000"/>
                <w:sz w:val="19"/>
              </w:rPr>
              <w:t>2)</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41.36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18</w:t>
            </w:r>
          </w:p>
        </w:tc>
        <w:tc>
          <w:tcPr>
            <w:tcW w:w="1430" w:type="dxa"/>
            <w:shd w:val="clear" w:color="auto" w:fill="auto"/>
            <w:vAlign w:val="center"/>
          </w:tcPr>
          <w:p>
            <w:pPr>
              <w:spacing w:before="83" w:line="239" w:lineRule="auto"/>
              <w:jc w:val="center"/>
              <w:rPr>
                <w:rFonts w:cs="宋体" w:asciiTheme="minorEastAsia" w:hAnsiTheme="minorEastAsia" w:eastAsiaTheme="minorEastAsia"/>
                <w:sz w:val="18"/>
                <w:szCs w:val="18"/>
              </w:rPr>
            </w:pPr>
            <w:r>
              <w:rPr>
                <w:rFonts w:hint="eastAsia" w:ascii="Calibri" w:hAnsi="Calibri" w:eastAsia="Calibri"/>
                <w:color w:val="000000"/>
                <w:sz w:val="19"/>
              </w:rPr>
              <w:t>HbA1c</w:t>
            </w:r>
            <w:r>
              <w:rPr>
                <w:rFonts w:hint="eastAsia" w:ascii="宋体" w:hAnsi="宋体"/>
                <w:color w:val="000000"/>
                <w:sz w:val="19"/>
              </w:rPr>
              <w:t>质控品（低值）</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323.13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HbA1c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19</w:t>
            </w:r>
          </w:p>
        </w:tc>
        <w:tc>
          <w:tcPr>
            <w:tcW w:w="1430" w:type="dxa"/>
            <w:shd w:val="clear" w:color="auto" w:fill="auto"/>
            <w:vAlign w:val="center"/>
          </w:tcPr>
          <w:p>
            <w:pPr>
              <w:spacing w:before="43" w:line="239" w:lineRule="auto"/>
              <w:jc w:val="center"/>
              <w:rPr>
                <w:rFonts w:cs="宋体" w:asciiTheme="minorEastAsia" w:hAnsiTheme="minorEastAsia" w:eastAsiaTheme="minorEastAsia"/>
                <w:sz w:val="18"/>
                <w:szCs w:val="18"/>
              </w:rPr>
            </w:pPr>
            <w:r>
              <w:rPr>
                <w:rFonts w:hint="eastAsia" w:ascii="Calibri" w:hAnsi="Calibri" w:eastAsia="Calibri"/>
                <w:color w:val="000000"/>
                <w:sz w:val="19"/>
              </w:rPr>
              <w:t>HbA1c</w:t>
            </w:r>
            <w:r>
              <w:rPr>
                <w:rFonts w:hint="eastAsia" w:ascii="宋体" w:hAnsi="宋体"/>
                <w:color w:val="000000"/>
                <w:sz w:val="19"/>
              </w:rPr>
              <w:t>质控品（高值）</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323.13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HbA1c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w:t>
            </w:r>
          </w:p>
        </w:tc>
        <w:tc>
          <w:tcPr>
            <w:tcW w:w="1430" w:type="dxa"/>
            <w:shd w:val="clear" w:color="auto" w:fill="auto"/>
            <w:vAlign w:val="center"/>
          </w:tcPr>
          <w:p>
            <w:pPr>
              <w:spacing w:before="43" w:line="239" w:lineRule="auto"/>
              <w:jc w:val="center"/>
              <w:rPr>
                <w:rFonts w:cs="宋体" w:asciiTheme="minorEastAsia" w:hAnsiTheme="minorEastAsia" w:eastAsiaTheme="minorEastAsia"/>
                <w:color w:val="000000"/>
                <w:sz w:val="18"/>
                <w:szCs w:val="18"/>
              </w:rPr>
            </w:pPr>
            <w:r>
              <w:rPr>
                <w:rFonts w:hint="eastAsia" w:ascii="宋体" w:hAnsi="宋体"/>
                <w:color w:val="000000"/>
                <w:sz w:val="19"/>
              </w:rPr>
              <w:t>风湿三项复合质控品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439.45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含FR-CRP,RFⅡ,ASOⅡ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21</w:t>
            </w:r>
          </w:p>
        </w:tc>
        <w:tc>
          <w:tcPr>
            <w:tcW w:w="1430" w:type="dxa"/>
            <w:shd w:val="clear" w:color="auto" w:fill="auto"/>
            <w:vAlign w:val="center"/>
          </w:tcPr>
          <w:p>
            <w:pPr>
              <w:spacing w:before="43" w:line="239" w:lineRule="auto"/>
              <w:jc w:val="center"/>
              <w:rPr>
                <w:rFonts w:cs="宋体" w:asciiTheme="minorEastAsia" w:hAnsiTheme="minorEastAsia" w:eastAsiaTheme="minorEastAsia"/>
                <w:color w:val="000000"/>
                <w:sz w:val="18"/>
                <w:szCs w:val="18"/>
              </w:rPr>
            </w:pPr>
            <w:r>
              <w:rPr>
                <w:rFonts w:hint="eastAsia" w:ascii="宋体" w:hAnsi="宋体"/>
                <w:color w:val="000000"/>
                <w:sz w:val="19"/>
              </w:rPr>
              <w:t>胱抑素</w:t>
            </w:r>
            <w:r>
              <w:rPr>
                <w:rFonts w:hint="eastAsia" w:ascii="Calibri" w:hAnsi="Calibri" w:eastAsia="Calibri"/>
                <w:color w:val="000000"/>
                <w:sz w:val="19"/>
              </w:rPr>
              <w:t>C</w:t>
            </w:r>
            <w:r>
              <w:rPr>
                <w:rFonts w:hint="eastAsia" w:ascii="宋体" w:hAnsi="宋体"/>
                <w:color w:val="000000"/>
                <w:sz w:val="19"/>
              </w:rPr>
              <w:t>质控品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55.15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left"/>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CysCⅡ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22</w:t>
            </w:r>
          </w:p>
        </w:tc>
        <w:tc>
          <w:tcPr>
            <w:tcW w:w="1430" w:type="dxa"/>
            <w:shd w:val="clear" w:color="auto" w:fill="auto"/>
            <w:vAlign w:val="center"/>
          </w:tcPr>
          <w:p>
            <w:pPr>
              <w:spacing w:line="292" w:lineRule="auto"/>
              <w:jc w:val="center"/>
              <w:rPr>
                <w:rFonts w:cs="宋体" w:asciiTheme="minorEastAsia" w:hAnsiTheme="minorEastAsia" w:eastAsiaTheme="minorEastAsia"/>
                <w:color w:val="000000"/>
                <w:sz w:val="18"/>
                <w:szCs w:val="18"/>
              </w:rPr>
            </w:pPr>
            <w:r>
              <w:rPr>
                <w:rFonts w:hint="eastAsia" w:ascii="宋体" w:hAnsi="宋体"/>
                <w:color w:val="000000"/>
                <w:sz w:val="20"/>
              </w:rPr>
              <w:t>二氧化碳（</w:t>
            </w:r>
            <w:r>
              <w:rPr>
                <w:rFonts w:hint="eastAsia" w:ascii="Calibri" w:hAnsi="Calibri" w:eastAsia="Calibri"/>
                <w:color w:val="000000"/>
                <w:sz w:val="20"/>
              </w:rPr>
              <w:t>C02</w:t>
            </w:r>
            <w:r>
              <w:rPr>
                <w:rFonts w:hint="eastAsia" w:ascii="宋体" w:hAnsi="宋体"/>
                <w:color w:val="000000"/>
                <w:sz w:val="20"/>
              </w:rPr>
              <w:t>）、总胆汁酸校准品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43.96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CO2、TBA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w:t>
            </w:r>
          </w:p>
        </w:tc>
        <w:tc>
          <w:tcPr>
            <w:tcW w:w="1430" w:type="dxa"/>
            <w:shd w:val="clear" w:color="auto" w:fill="auto"/>
            <w:vAlign w:val="center"/>
          </w:tcPr>
          <w:p>
            <w:pPr>
              <w:spacing w:before="43" w:line="239" w:lineRule="auto"/>
              <w:jc w:val="center"/>
              <w:rPr>
                <w:rFonts w:cs="宋体" w:asciiTheme="minorEastAsia" w:hAnsiTheme="minorEastAsia" w:eastAsiaTheme="minorEastAsia"/>
                <w:color w:val="000000"/>
                <w:sz w:val="18"/>
                <w:szCs w:val="18"/>
              </w:rPr>
            </w:pPr>
            <w:r>
              <w:rPr>
                <w:rFonts w:hint="eastAsia" w:ascii="宋体" w:hAnsi="宋体"/>
                <w:color w:val="000000"/>
                <w:sz w:val="19"/>
              </w:rPr>
              <w:t>肌酸激酶同工酶校准品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sz w:val="18"/>
                <w:szCs w:val="18"/>
              </w:rPr>
              <w:t>毫升</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301.74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CK-MB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24</w:t>
            </w:r>
          </w:p>
        </w:tc>
        <w:tc>
          <w:tcPr>
            <w:tcW w:w="1430" w:type="dxa"/>
            <w:shd w:val="clear" w:color="auto" w:fill="auto"/>
            <w:vAlign w:val="center"/>
          </w:tcPr>
          <w:p>
            <w:pPr>
              <w:spacing w:before="43" w:line="239" w:lineRule="auto"/>
              <w:jc w:val="center"/>
              <w:rPr>
                <w:rFonts w:cs="宋体" w:asciiTheme="minorEastAsia" w:hAnsiTheme="minorEastAsia" w:eastAsiaTheme="minorEastAsia"/>
                <w:color w:val="000000"/>
                <w:sz w:val="18"/>
                <w:szCs w:val="18"/>
              </w:rPr>
            </w:pPr>
            <w:r>
              <w:rPr>
                <w:rFonts w:hint="eastAsia" w:ascii="宋体" w:hAnsi="宋体"/>
                <w:color w:val="000000"/>
                <w:sz w:val="19"/>
              </w:rPr>
              <w:t>光源灯</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盒</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1880.00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25</w:t>
            </w:r>
          </w:p>
        </w:tc>
        <w:tc>
          <w:tcPr>
            <w:tcW w:w="1430" w:type="dxa"/>
            <w:shd w:val="clear" w:color="auto" w:fill="auto"/>
            <w:vAlign w:val="center"/>
          </w:tcPr>
          <w:p>
            <w:pPr>
              <w:spacing w:before="63" w:line="239" w:lineRule="auto"/>
              <w:jc w:val="center"/>
              <w:rPr>
                <w:rFonts w:cs="宋体" w:asciiTheme="minorEastAsia" w:hAnsiTheme="minorEastAsia" w:eastAsiaTheme="minorEastAsia"/>
                <w:color w:val="000000"/>
                <w:sz w:val="18"/>
                <w:szCs w:val="18"/>
              </w:rPr>
            </w:pPr>
            <w:r>
              <w:rPr>
                <w:rFonts w:hint="eastAsia" w:ascii="宋体" w:hAnsi="宋体"/>
                <w:color w:val="000000"/>
                <w:sz w:val="19"/>
              </w:rPr>
              <w:t>糖化样本针组件</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套</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3384.00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left"/>
              <w:rPr>
                <w:rFonts w:ascii="微软雅黑" w:hAnsi="微软雅黑" w:eastAsia="微软雅黑" w:cs="宋体"/>
                <w:kern w:val="0"/>
                <w:sz w:val="15"/>
                <w:szCs w:val="15"/>
              </w:rPr>
            </w:pPr>
          </w:p>
        </w:tc>
        <w:tc>
          <w:tcPr>
            <w:tcW w:w="1795" w:type="dxa"/>
            <w:vAlign w:val="center"/>
          </w:tcPr>
          <w:p>
            <w:pP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26</w:t>
            </w:r>
          </w:p>
        </w:tc>
        <w:tc>
          <w:tcPr>
            <w:tcW w:w="1430" w:type="dxa"/>
            <w:shd w:val="clear" w:color="auto" w:fill="auto"/>
            <w:vAlign w:val="center"/>
          </w:tcPr>
          <w:p>
            <w:pPr>
              <w:spacing w:before="43" w:line="239" w:lineRule="auto"/>
              <w:jc w:val="center"/>
              <w:rPr>
                <w:rFonts w:cs="宋体" w:asciiTheme="minorEastAsia" w:hAnsiTheme="minorEastAsia" w:eastAsiaTheme="minorEastAsia"/>
                <w:color w:val="000000"/>
                <w:sz w:val="18"/>
                <w:szCs w:val="18"/>
              </w:rPr>
            </w:pPr>
            <w:r>
              <w:rPr>
                <w:rFonts w:hint="eastAsia" w:ascii="宋体" w:hAnsi="宋体"/>
                <w:color w:val="000000"/>
                <w:sz w:val="19"/>
              </w:rPr>
              <w:t>离子模块</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81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09" w:type="dxa"/>
            <w:shd w:val="clear" w:color="auto" w:fill="auto"/>
            <w:vAlign w:val="center"/>
          </w:tcPr>
          <w:p>
            <w:pPr>
              <w:jc w:val="center"/>
              <w:rPr>
                <w:rFonts w:cs="宋体" w:asciiTheme="minorEastAsia" w:hAnsiTheme="minorEastAsia" w:eastAsiaTheme="minorEastAsia"/>
                <w:sz w:val="18"/>
                <w:szCs w:val="18"/>
              </w:rPr>
            </w:pPr>
            <w:r>
              <w:rPr>
                <w:rFonts w:hint="eastAsia" w:asciiTheme="minorEastAsia" w:hAnsiTheme="minorEastAsia" w:eastAsiaTheme="minorEastAsia"/>
                <w:color w:val="000000"/>
                <w:sz w:val="18"/>
                <w:szCs w:val="18"/>
              </w:rPr>
              <w:t>套</w:t>
            </w:r>
          </w:p>
        </w:tc>
        <w:tc>
          <w:tcPr>
            <w:tcW w:w="708"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09" w:type="dxa"/>
            <w:vAlign w:val="center"/>
          </w:tcPr>
          <w:p>
            <w:pPr>
              <w:widowControl/>
              <w:spacing w:line="240" w:lineRule="exact"/>
              <w:jc w:val="center"/>
              <w:rPr>
                <w:rFonts w:cs="宋体" w:asciiTheme="minorEastAsia" w:hAnsiTheme="minorEastAsia" w:eastAsiaTheme="minorEastAsia"/>
                <w:kern w:val="0"/>
                <w:sz w:val="18"/>
                <w:szCs w:val="18"/>
              </w:rPr>
            </w:pPr>
          </w:p>
        </w:tc>
        <w:tc>
          <w:tcPr>
            <w:tcW w:w="1170" w:type="dxa"/>
            <w:vAlign w:val="center"/>
          </w:tcPr>
          <w:p>
            <w:pPr>
              <w:keepNext w:val="0"/>
              <w:keepLines w:val="0"/>
              <w:widowControl/>
              <w:suppressLineNumbers w:val="0"/>
              <w:jc w:val="right"/>
              <w:textAlignment w:val="center"/>
              <w:rPr>
                <w:rFonts w:cs="宋体" w:asciiTheme="minorEastAsia" w:hAnsiTheme="minorEastAsia" w:eastAsiaTheme="minorEastAsia"/>
                <w:sz w:val="18"/>
                <w:szCs w:val="18"/>
              </w:rPr>
            </w:pPr>
            <w:r>
              <w:rPr>
                <w:rFonts w:hint="eastAsia" w:ascii="宋体" w:hAnsi="宋体" w:eastAsia="宋体" w:cs="宋体"/>
                <w:i w:val="0"/>
                <w:color w:val="000000"/>
                <w:kern w:val="0"/>
                <w:sz w:val="22"/>
                <w:szCs w:val="22"/>
                <w:u w:val="none"/>
                <w:lang w:val="en-US" w:eastAsia="zh-CN" w:bidi="ar"/>
              </w:rPr>
              <w:t xml:space="preserve">26790.00 </w:t>
            </w:r>
          </w:p>
        </w:tc>
        <w:tc>
          <w:tcPr>
            <w:tcW w:w="956" w:type="dxa"/>
            <w:vAlign w:val="center"/>
          </w:tcPr>
          <w:p>
            <w:pPr>
              <w:widowControl/>
              <w:spacing w:line="240" w:lineRule="exact"/>
              <w:jc w:val="center"/>
              <w:rPr>
                <w:rFonts w:cs="宋体" w:asciiTheme="minorEastAsia" w:hAnsiTheme="minorEastAsia" w:eastAsiaTheme="minorEastAsia"/>
                <w:kern w:val="0"/>
                <w:sz w:val="18"/>
                <w:szCs w:val="18"/>
              </w:rPr>
            </w:pPr>
          </w:p>
        </w:tc>
        <w:tc>
          <w:tcPr>
            <w:tcW w:w="709" w:type="dxa"/>
            <w:vAlign w:val="center"/>
          </w:tcPr>
          <w:p>
            <w:pPr>
              <w:widowControl/>
              <w:spacing w:line="200" w:lineRule="exact"/>
              <w:jc w:val="center"/>
              <w:rPr>
                <w:rFonts w:ascii="微软雅黑" w:hAnsi="微软雅黑" w:eastAsia="微软雅黑" w:cs="宋体"/>
                <w:kern w:val="0"/>
                <w:sz w:val="15"/>
                <w:szCs w:val="15"/>
              </w:rPr>
            </w:pPr>
          </w:p>
        </w:tc>
        <w:tc>
          <w:tcPr>
            <w:tcW w:w="1795" w:type="dxa"/>
            <w:vAlign w:val="center"/>
          </w:tcPr>
          <w:p>
            <w:pPr>
              <w:rPr>
                <w:rFonts w:cs="宋体" w:asciiTheme="minorEastAsia" w:hAnsiTheme="minorEastAsia" w:eastAsiaTheme="minorEastAsia"/>
                <w:color w:val="000000"/>
                <w:sz w:val="18"/>
                <w:szCs w:val="18"/>
              </w:rPr>
            </w:pPr>
            <w:r>
              <w:rPr>
                <w:rFonts w:hint="eastAsia"/>
                <w:color w:val="000000"/>
                <w:sz w:val="22"/>
                <w:szCs w:val="22"/>
              </w:rPr>
              <w:t>　</w:t>
            </w:r>
          </w:p>
        </w:tc>
      </w:tr>
    </w:tbl>
    <w:p>
      <w:pPr>
        <w:pStyle w:val="10"/>
        <w:spacing w:before="0" w:beforeAutospacing="0" w:after="0" w:afterAutospacing="0" w:line="480" w:lineRule="exact"/>
        <w:ind w:left="-850" w:leftChars="-405" w:right="-758" w:rightChars="-361"/>
        <w:rPr>
          <w:rFonts w:asciiTheme="minorEastAsia" w:hAnsiTheme="minorEastAsia" w:eastAsiaTheme="minorEastAsia"/>
          <w:sz w:val="21"/>
          <w:szCs w:val="21"/>
        </w:rPr>
      </w:pPr>
    </w:p>
    <w:p>
      <w:pPr>
        <w:pStyle w:val="10"/>
        <w:spacing w:before="0" w:beforeAutospacing="0" w:after="0" w:afterAutospacing="0" w:line="560" w:lineRule="exact"/>
        <w:rPr>
          <w:rFonts w:asciiTheme="minorEastAsia" w:hAnsiTheme="minorEastAsia"/>
          <w:b/>
          <w:bCs/>
        </w:rPr>
      </w:pPr>
      <w:r>
        <w:rPr>
          <w:rFonts w:hint="eastAsia" w:asciiTheme="minorEastAsia" w:hAnsiTheme="minorEastAsia"/>
          <w:b/>
          <w:bCs/>
        </w:rPr>
        <w:t>九、投标文件格式</w:t>
      </w:r>
    </w:p>
    <w:p>
      <w:pPr>
        <w:snapToGrid w:val="0"/>
        <w:spacing w:line="560" w:lineRule="exact"/>
        <w:jc w:val="left"/>
        <w:rPr>
          <w:rFonts w:asciiTheme="minorEastAsia" w:hAnsiTheme="minorEastAsia"/>
          <w:sz w:val="24"/>
        </w:rPr>
      </w:pPr>
      <w:r>
        <w:rPr>
          <w:rFonts w:hint="eastAsia" w:asciiTheme="minorEastAsia" w:hAnsiTheme="minorEastAsia"/>
          <w:sz w:val="24"/>
        </w:rPr>
        <w:t>1、投标者需将投标资料密封在档案袋内，密封袋封面应分别写明招标人和项目名称，并注明“开标时间以前不得开封”字样，加盖公章。</w:t>
      </w:r>
    </w:p>
    <w:p>
      <w:pPr>
        <w:snapToGrid w:val="0"/>
        <w:spacing w:line="360" w:lineRule="auto"/>
        <w:jc w:val="left"/>
        <w:rPr>
          <w:rFonts w:asciiTheme="minorEastAsia" w:hAnsiTheme="minorEastAsia"/>
          <w:sz w:val="24"/>
        </w:rPr>
      </w:pPr>
      <w:r>
        <w:rPr>
          <w:rFonts w:hint="eastAsia" w:asciiTheme="minorEastAsia" w:hAnsiTheme="minorEastAsia"/>
          <w:sz w:val="24"/>
        </w:rPr>
        <w:t>2、投标文件：正本一份，副本四份。装订方式为胶装。（正本彩印,副本可为复印件。正副本均需加盖骑缝章）</w:t>
      </w:r>
    </w:p>
    <w:p>
      <w:pPr>
        <w:snapToGrid w:val="0"/>
        <w:spacing w:line="560" w:lineRule="exact"/>
        <w:jc w:val="left"/>
        <w:rPr>
          <w:rFonts w:asciiTheme="minorEastAsia" w:hAnsiTheme="minorEastAsia"/>
          <w:sz w:val="24"/>
        </w:rPr>
      </w:pPr>
      <w:r>
        <w:rPr>
          <w:rFonts w:hint="eastAsia" w:asciiTheme="minorEastAsia" w:hAnsiTheme="minorEastAsia"/>
          <w:sz w:val="24"/>
        </w:rPr>
        <w:t>3、标书封面须有以下内容</w:t>
      </w:r>
    </w:p>
    <w:p>
      <w:pPr>
        <w:snapToGrid w:val="0"/>
        <w:spacing w:line="560" w:lineRule="exact"/>
        <w:jc w:val="left"/>
        <w:rPr>
          <w:rFonts w:asciiTheme="minorEastAsia" w:hAnsiTheme="minorEastAsia"/>
          <w:sz w:val="24"/>
        </w:rPr>
      </w:pPr>
      <w:r>
        <w:rPr>
          <w:rFonts w:hint="eastAsia" w:asciiTheme="minorEastAsia" w:hAnsiTheme="minorEastAsia"/>
          <w:sz w:val="24"/>
        </w:rPr>
        <w:t>（1）投标公司全称及正本或副本标识；</w:t>
      </w:r>
    </w:p>
    <w:p>
      <w:pPr>
        <w:snapToGrid w:val="0"/>
        <w:spacing w:line="560" w:lineRule="exact"/>
        <w:jc w:val="left"/>
        <w:rPr>
          <w:rFonts w:asciiTheme="minorEastAsia" w:hAnsiTheme="minorEastAsia"/>
          <w:sz w:val="24"/>
        </w:rPr>
      </w:pPr>
      <w:r>
        <w:rPr>
          <w:rFonts w:hint="eastAsia" w:asciiTheme="minorEastAsia" w:hAnsiTheme="minorEastAsia"/>
          <w:sz w:val="24"/>
        </w:rPr>
        <w:t>（2）投标项目名称；</w:t>
      </w:r>
    </w:p>
    <w:p>
      <w:pPr>
        <w:snapToGrid w:val="0"/>
        <w:spacing w:line="560" w:lineRule="exact"/>
        <w:jc w:val="left"/>
        <w:rPr>
          <w:rFonts w:asciiTheme="minorEastAsia" w:hAnsiTheme="minorEastAsia"/>
          <w:sz w:val="24"/>
        </w:rPr>
      </w:pPr>
      <w:r>
        <w:rPr>
          <w:rFonts w:hint="eastAsia" w:asciiTheme="minorEastAsia" w:hAnsiTheme="minorEastAsia"/>
          <w:sz w:val="24"/>
        </w:rPr>
        <w:t>（3）投标公司联系人及联系方式；</w:t>
      </w:r>
    </w:p>
    <w:p>
      <w:pPr>
        <w:snapToGrid w:val="0"/>
        <w:spacing w:line="560" w:lineRule="exact"/>
        <w:jc w:val="left"/>
        <w:rPr>
          <w:rFonts w:asciiTheme="minorEastAsia" w:hAnsiTheme="minorEastAsia"/>
          <w:sz w:val="24"/>
        </w:rPr>
      </w:pPr>
      <w:r>
        <w:rPr>
          <w:rFonts w:hint="eastAsia" w:asciiTheme="minorEastAsia" w:hAnsiTheme="minorEastAsia"/>
          <w:sz w:val="24"/>
        </w:rPr>
        <w:t>（4）投标日期。</w:t>
      </w:r>
    </w:p>
    <w:p>
      <w:pPr>
        <w:snapToGrid w:val="0"/>
        <w:spacing w:line="560" w:lineRule="exact"/>
        <w:jc w:val="left"/>
        <w:rPr>
          <w:rFonts w:asciiTheme="minorEastAsia" w:hAnsiTheme="minorEastAsia"/>
          <w:sz w:val="24"/>
        </w:rPr>
      </w:pPr>
      <w:r>
        <w:rPr>
          <w:rFonts w:hint="eastAsia" w:asciiTheme="minorEastAsia" w:hAnsi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b/>
          <w:sz w:val="24"/>
        </w:rPr>
      </w:pPr>
      <w:r>
        <w:rPr>
          <w:rFonts w:hint="eastAsia" w:cs="仿宋" w:asciiTheme="minorEastAsia" w:hAnsiTheme="minorEastAsia"/>
          <w:b/>
          <w:sz w:val="24"/>
        </w:rPr>
        <w:t>十、投标文件包含项目</w:t>
      </w:r>
    </w:p>
    <w:tbl>
      <w:tblPr>
        <w:tblStyle w:val="13"/>
        <w:tblW w:w="8237" w:type="dxa"/>
        <w:tblInd w:w="0" w:type="dxa"/>
        <w:tblLayout w:type="fixed"/>
        <w:tblCellMar>
          <w:top w:w="0" w:type="dxa"/>
          <w:left w:w="0" w:type="dxa"/>
          <w:bottom w:w="0" w:type="dxa"/>
          <w:right w:w="0" w:type="dxa"/>
        </w:tblCellMar>
      </w:tblPr>
      <w:tblGrid>
        <w:gridCol w:w="767"/>
        <w:gridCol w:w="1651"/>
        <w:gridCol w:w="5819"/>
      </w:tblGrid>
      <w:tr>
        <w:tblPrEx>
          <w:tblLayout w:type="fixed"/>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sz w:val="24"/>
              </w:rPr>
            </w:pPr>
            <w:r>
              <w:rPr>
                <w:rFonts w:hint="eastAsia" w:cs="宋体" w:asciiTheme="minorEastAsia" w:hAnsi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sz w:val="24"/>
              </w:rPr>
            </w:pPr>
            <w:r>
              <w:rPr>
                <w:rFonts w:hint="eastAsia" w:cs="华文仿宋" w:asciiTheme="minorEastAsia" w:hAnsiTheme="minorEastAsia"/>
                <w:kern w:val="0"/>
                <w:sz w:val="24"/>
              </w:rPr>
              <w:t>包含项目</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sz w:val="24"/>
              </w:rPr>
            </w:pPr>
            <w:r>
              <w:rPr>
                <w:rFonts w:hint="eastAsia" w:cs="宋体" w:asciiTheme="minorEastAsia" w:hAnsi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生产厂家营业资质</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kern w:val="0"/>
                <w:sz w:val="24"/>
              </w:rPr>
            </w:pPr>
            <w:r>
              <w:rPr>
                <w:rFonts w:hint="eastAsia" w:cs="宋体" w:asciiTheme="minorEastAsia" w:hAnsi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医疗器械生产企业许可证、备案凭证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按照医疗器械分类标准提供投标产品的医疗器械注册证、医疗器械备案凭证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kern w:val="0"/>
                <w:sz w:val="24"/>
              </w:rPr>
            </w:pPr>
            <w:r>
              <w:rPr>
                <w:rFonts w:hint="eastAsia" w:cs="华文仿宋" w:asciiTheme="minorEastAsia" w:hAnsi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开户许可证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生产企业出具的投标产品代理授权书（原件）</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法人代表授权书</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法人代表身份证复印件</w:t>
            </w:r>
          </w:p>
        </w:tc>
      </w:tr>
      <w:tr>
        <w:tblPrEx>
          <w:tblLayout w:type="fixed"/>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投标代表身份证复印件</w:t>
            </w:r>
          </w:p>
        </w:tc>
      </w:tr>
      <w:tr>
        <w:tblPrEx>
          <w:tblLayout w:type="fixed"/>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售后服务承诺书</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质量保证协议</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kern w:val="0"/>
                <w:sz w:val="24"/>
              </w:rPr>
            </w:pPr>
            <w:r>
              <w:rPr>
                <w:rFonts w:hint="eastAsia" w:cs="华文仿宋" w:asciiTheme="minorEastAsia" w:hAnsiTheme="minorEastAsia"/>
                <w:kern w:val="0"/>
                <w:sz w:val="24"/>
              </w:rPr>
              <w:t>报价单</w:t>
            </w:r>
          </w:p>
        </w:tc>
      </w:tr>
    </w:tbl>
    <w:p>
      <w:pPr>
        <w:snapToGrid w:val="0"/>
        <w:spacing w:line="360" w:lineRule="auto"/>
        <w:jc w:val="left"/>
        <w:rPr>
          <w:rFonts w:asciiTheme="minorEastAsia" w:hAnsiTheme="minorEastAsia"/>
          <w:b/>
          <w:bCs/>
          <w:sz w:val="24"/>
        </w:rPr>
      </w:pPr>
      <w:r>
        <w:rPr>
          <w:rFonts w:hint="eastAsia" w:asciiTheme="minorEastAsia" w:hAnsiTheme="minorEastAsia"/>
          <w:b/>
          <w:bCs/>
          <w:sz w:val="24"/>
        </w:rPr>
        <w:t>十一、投标文件的递交</w:t>
      </w:r>
    </w:p>
    <w:p>
      <w:pPr>
        <w:snapToGrid w:val="0"/>
        <w:spacing w:line="360" w:lineRule="auto"/>
        <w:jc w:val="left"/>
        <w:rPr>
          <w:rFonts w:asciiTheme="minorEastAsia" w:hAnsiTheme="minorEastAsia"/>
          <w:sz w:val="24"/>
        </w:rPr>
      </w:pPr>
      <w:r>
        <w:rPr>
          <w:rFonts w:hint="eastAsia" w:asciiTheme="minorEastAsia" w:hAnsiTheme="minorEastAsia"/>
          <w:sz w:val="24"/>
        </w:rPr>
        <w:t>1、每个投标人递交1个投标文件密封袋。</w:t>
      </w:r>
    </w:p>
    <w:p>
      <w:pPr>
        <w:snapToGrid w:val="0"/>
        <w:spacing w:line="360" w:lineRule="auto"/>
        <w:jc w:val="left"/>
        <w:rPr>
          <w:rFonts w:asciiTheme="minorEastAsia" w:hAnsiTheme="minorEastAsia"/>
          <w:sz w:val="24"/>
        </w:rPr>
      </w:pPr>
      <w:r>
        <w:rPr>
          <w:rFonts w:hint="eastAsia" w:asciiTheme="minorEastAsia" w:hAnsiTheme="minorEastAsia"/>
          <w:sz w:val="24"/>
        </w:rPr>
        <w:t>2、投标人将投标文件现场递交给招标办。</w:t>
      </w:r>
    </w:p>
    <w:p>
      <w:pPr>
        <w:snapToGrid w:val="0"/>
        <w:spacing w:line="360" w:lineRule="auto"/>
        <w:jc w:val="left"/>
        <w:rPr>
          <w:rFonts w:asciiTheme="minorEastAsia" w:hAnsiTheme="minorEastAsia"/>
          <w:sz w:val="24"/>
        </w:rPr>
      </w:pPr>
      <w:r>
        <w:rPr>
          <w:rFonts w:hint="eastAsia" w:asciiTheme="minorEastAsia" w:hAnsiTheme="minorEastAsia"/>
          <w:sz w:val="24"/>
        </w:rPr>
        <w:t>3、投标文件有下列情况之一者将视为无效：</w:t>
      </w:r>
    </w:p>
    <w:p>
      <w:pPr>
        <w:snapToGrid w:val="0"/>
        <w:spacing w:line="360" w:lineRule="auto"/>
        <w:jc w:val="left"/>
        <w:rPr>
          <w:rFonts w:asciiTheme="minorEastAsia" w:hAnsiTheme="minorEastAsia"/>
          <w:sz w:val="24"/>
        </w:rPr>
      </w:pPr>
      <w:r>
        <w:rPr>
          <w:rFonts w:hint="eastAsia" w:asciiTheme="minorEastAsia" w:hAnsiTheme="minorEastAsia"/>
          <w:sz w:val="24"/>
        </w:rPr>
        <w:t>（1）投标文件未密封和未按规定加盖投标人公章的。</w:t>
      </w:r>
    </w:p>
    <w:p>
      <w:pPr>
        <w:snapToGrid w:val="0"/>
        <w:spacing w:line="360" w:lineRule="auto"/>
        <w:jc w:val="left"/>
        <w:rPr>
          <w:rFonts w:asciiTheme="minorEastAsia" w:hAnsiTheme="minorEastAsia"/>
          <w:sz w:val="24"/>
        </w:rPr>
      </w:pPr>
      <w:r>
        <w:rPr>
          <w:rFonts w:hint="eastAsia" w:asciiTheme="minorEastAsia" w:hAnsi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sz w:val="24"/>
        </w:rPr>
      </w:pPr>
      <w:r>
        <w:rPr>
          <w:rFonts w:hint="eastAsia" w:asciiTheme="minorEastAsia" w:hAnsiTheme="minorEastAsia"/>
          <w:sz w:val="24"/>
        </w:rPr>
        <w:t>（3）超过截止时间未送达投标文件的。</w:t>
      </w:r>
    </w:p>
    <w:p>
      <w:pPr>
        <w:snapToGrid w:val="0"/>
        <w:spacing w:line="360" w:lineRule="auto"/>
        <w:jc w:val="left"/>
        <w:rPr>
          <w:rFonts w:asciiTheme="minorEastAsia" w:hAnsiTheme="minorEastAsia"/>
          <w:sz w:val="24"/>
        </w:rPr>
      </w:pPr>
      <w:r>
        <w:rPr>
          <w:rFonts w:hint="eastAsia" w:asciiTheme="minorEastAsia" w:hAnsiTheme="minorEastAsia"/>
          <w:sz w:val="24"/>
        </w:rPr>
        <w:t>（4）违反招投标法律法规规定的。</w:t>
      </w:r>
    </w:p>
    <w:p>
      <w:pPr>
        <w:snapToGrid w:val="0"/>
        <w:spacing w:line="360" w:lineRule="auto"/>
        <w:jc w:val="left"/>
        <w:rPr>
          <w:rFonts w:cs="仿宋" w:asciiTheme="minorEastAsia" w:hAnsiTheme="minorEastAsia"/>
          <w:sz w:val="24"/>
        </w:rPr>
      </w:pPr>
      <w:r>
        <w:rPr>
          <w:rFonts w:hint="eastAsia" w:asciiTheme="minorEastAsia" w:hAnsiTheme="minorEastAsia"/>
          <w:sz w:val="24"/>
        </w:rPr>
        <w:t>（5）未响应招标文件内容。</w:t>
      </w:r>
    </w:p>
    <w:p>
      <w:pPr>
        <w:pStyle w:val="10"/>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十二、谈判与评标</w:t>
      </w:r>
    </w:p>
    <w:p>
      <w:pPr>
        <w:snapToGrid w:val="0"/>
        <w:spacing w:line="360" w:lineRule="auto"/>
        <w:jc w:val="left"/>
        <w:rPr>
          <w:rFonts w:asciiTheme="minorEastAsia" w:hAnsiTheme="minorEastAsia"/>
          <w:sz w:val="24"/>
        </w:rPr>
      </w:pPr>
      <w:r>
        <w:rPr>
          <w:rFonts w:hint="eastAsia" w:asciiTheme="minorEastAsia" w:hAnsiTheme="minorEastAsia"/>
          <w:sz w:val="24"/>
        </w:rPr>
        <w:t>1、开标时间：202</w:t>
      </w:r>
      <w:r>
        <w:rPr>
          <w:rFonts w:hint="eastAsia" w:asciiTheme="minorEastAsia" w:hAnsiTheme="minorEastAsia"/>
          <w:sz w:val="24"/>
          <w:lang w:val="en-US" w:eastAsia="zh-CN"/>
        </w:rPr>
        <w:t>6</w:t>
      </w:r>
      <w:r>
        <w:rPr>
          <w:rFonts w:hint="eastAsia" w:asciiTheme="minorEastAsia" w:hAnsiTheme="minorEastAsia"/>
          <w:sz w:val="24"/>
        </w:rPr>
        <w:t>年</w:t>
      </w:r>
      <w:r>
        <w:rPr>
          <w:rFonts w:hint="eastAsia" w:asciiTheme="minorEastAsia" w:hAnsiTheme="minorEastAsia"/>
          <w:sz w:val="24"/>
          <w:lang w:val="en-US" w:eastAsia="zh-CN"/>
        </w:rPr>
        <w:t>5</w:t>
      </w:r>
      <w:r>
        <w:rPr>
          <w:rFonts w:hint="eastAsia" w:asciiTheme="minorEastAsia" w:hAnsiTheme="minorEastAsia"/>
          <w:sz w:val="24"/>
        </w:rPr>
        <w:t xml:space="preserve"> 月</w:t>
      </w:r>
      <w:r>
        <w:rPr>
          <w:rFonts w:hint="eastAsia" w:asciiTheme="minorEastAsia" w:hAnsiTheme="minorEastAsia"/>
          <w:sz w:val="24"/>
          <w:lang w:val="en-US" w:eastAsia="zh-CN"/>
        </w:rPr>
        <w:t xml:space="preserve"> 6</w:t>
      </w:r>
      <w:r>
        <w:rPr>
          <w:rFonts w:hint="eastAsia" w:asciiTheme="minorEastAsia" w:hAnsiTheme="minorEastAsia"/>
          <w:sz w:val="24"/>
        </w:rPr>
        <w:t xml:space="preserve"> 日</w:t>
      </w:r>
      <w:r>
        <w:rPr>
          <w:rFonts w:hint="eastAsia" w:asciiTheme="minorEastAsia" w:hAnsiTheme="minorEastAsia"/>
          <w:sz w:val="24"/>
          <w:lang w:val="en-US" w:eastAsia="zh-CN"/>
        </w:rPr>
        <w:t>14</w:t>
      </w:r>
      <w:r>
        <w:rPr>
          <w:rFonts w:hint="eastAsia" w:asciiTheme="minorEastAsia" w:hAnsiTheme="minorEastAsia"/>
          <w:sz w:val="24"/>
        </w:rPr>
        <w:t xml:space="preserve"> 时(如有变化另行通知)</w:t>
      </w:r>
    </w:p>
    <w:p>
      <w:pPr>
        <w:snapToGrid w:val="0"/>
        <w:spacing w:line="360" w:lineRule="auto"/>
        <w:jc w:val="left"/>
        <w:rPr>
          <w:rFonts w:asciiTheme="minorEastAsia" w:hAnsiTheme="minorEastAsia"/>
          <w:sz w:val="24"/>
        </w:rPr>
      </w:pPr>
      <w:r>
        <w:rPr>
          <w:rFonts w:hint="eastAsia" w:asciiTheme="minorEastAsia" w:hAnsiTheme="minorEastAsia"/>
          <w:sz w:val="24"/>
        </w:rPr>
        <w:t>2、开标地点：大庆市第五医院二部机关楼二楼会议室</w:t>
      </w:r>
    </w:p>
    <w:p>
      <w:pPr>
        <w:snapToGrid w:val="0"/>
        <w:spacing w:line="360" w:lineRule="auto"/>
        <w:jc w:val="left"/>
        <w:rPr>
          <w:rFonts w:asciiTheme="minorEastAsia" w:hAnsiTheme="minorEastAsia"/>
          <w:sz w:val="24"/>
        </w:rPr>
      </w:pPr>
      <w:r>
        <w:rPr>
          <w:rFonts w:hint="eastAsia" w:asciiTheme="minorEastAsia" w:hAnsi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sz w:val="24"/>
        </w:rPr>
      </w:pPr>
      <w:r>
        <w:rPr>
          <w:rFonts w:hint="eastAsia" w:asciiTheme="minorEastAsia" w:hAnsiTheme="minorEastAsia"/>
          <w:sz w:val="24"/>
        </w:rPr>
        <w:t>4、采购小组有权对投标文件提出质疑，并请投标人给予解释；转入评标阶段时，所有投标人应回避等候定标结果。</w:t>
      </w:r>
    </w:p>
    <w:p>
      <w:pPr>
        <w:pStyle w:val="10"/>
        <w:spacing w:before="0" w:beforeAutospacing="0" w:after="0" w:afterAutospacing="0" w:line="450" w:lineRule="atLeast"/>
        <w:rPr>
          <w:rFonts w:asciiTheme="minorEastAsia" w:hAnsiTheme="minorEastAsia"/>
          <w:b/>
          <w:bCs/>
        </w:rPr>
      </w:pPr>
      <w:r>
        <w:rPr>
          <w:rFonts w:hint="eastAsia" w:asciiTheme="minorEastAsia" w:hAnsiTheme="minorEastAsia"/>
          <w:b/>
          <w:bCs/>
        </w:rPr>
        <w:t>十三、评标原则</w:t>
      </w:r>
    </w:p>
    <w:p>
      <w:pPr>
        <w:pStyle w:val="18"/>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8"/>
        <w:spacing w:beforeAutospacing="0" w:afterAutospacing="0" w:line="450" w:lineRule="atLeast"/>
      </w:pPr>
      <w:r>
        <w:rPr>
          <w:rFonts w:hint="eastAsia"/>
        </w:rPr>
        <w:t>2、能提供最合理的投标报价。</w:t>
      </w:r>
    </w:p>
    <w:p>
      <w:pPr>
        <w:pStyle w:val="18"/>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4、质量承诺及具体质量保证措施。</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5、</w:t>
      </w:r>
      <w:r>
        <w:rPr>
          <w:rFonts w:hint="eastAsia"/>
        </w:rPr>
        <w:t>投标报价最低者推荐为中标供应商</w:t>
      </w:r>
      <w:r>
        <w:rPr>
          <w:rFonts w:hint="eastAsia" w:asciiTheme="minorEastAsia" w:hAnsiTheme="minorEastAsia"/>
        </w:rPr>
        <w:t>。</w:t>
      </w:r>
    </w:p>
    <w:p>
      <w:pPr>
        <w:pStyle w:val="10"/>
        <w:spacing w:before="0" w:beforeAutospacing="0" w:after="0" w:afterAutospacing="0" w:line="450" w:lineRule="atLeast"/>
        <w:rPr>
          <w:rFonts w:asciiTheme="minorEastAsia" w:hAnsiTheme="minorEastAsia"/>
          <w:b/>
          <w:bCs/>
        </w:rPr>
      </w:pPr>
      <w:r>
        <w:rPr>
          <w:rFonts w:hint="eastAsia" w:asciiTheme="minorEastAsia" w:hAnsiTheme="minorEastAsia"/>
          <w:b/>
          <w:bCs/>
        </w:rPr>
        <w:t>十四、质疑答复</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1、投标方可在现场提出质疑问题。</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2、技术方面问题由评委答复。</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3、公平性问题由纪检答复。</w:t>
      </w:r>
    </w:p>
    <w:p>
      <w:pPr>
        <w:pStyle w:val="10"/>
        <w:spacing w:before="0" w:beforeAutospacing="0" w:after="0" w:afterAutospacing="0" w:line="450" w:lineRule="atLeast"/>
        <w:rPr>
          <w:rFonts w:asciiTheme="minorEastAsia" w:hAnsiTheme="minorEastAsia"/>
        </w:rPr>
      </w:pPr>
      <w:r>
        <w:rPr>
          <w:rFonts w:hint="eastAsia" w:asciiTheme="minorEastAsia" w:hAnsiTheme="minorEastAsia"/>
        </w:rPr>
        <w:t>4、不允许投标方查看院方任何资料。</w:t>
      </w:r>
    </w:p>
    <w:p>
      <w:pPr>
        <w:pStyle w:val="10"/>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十五、违约责任</w:t>
      </w:r>
    </w:p>
    <w:p>
      <w:pPr>
        <w:pStyle w:val="18"/>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8"/>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8"/>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8"/>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8"/>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10"/>
        <w:spacing w:before="0" w:beforeAutospacing="0" w:after="0" w:afterAutospacing="0" w:line="450" w:lineRule="atLeast"/>
        <w:rPr>
          <w:rFonts w:asciiTheme="minorEastAsia" w:hAnsiTheme="minorEastAsia"/>
          <w:b/>
          <w:bCs/>
          <w:color w:val="000000" w:themeColor="text1"/>
          <w14:textFill>
            <w14:solidFill>
              <w14:schemeClr w14:val="tx1"/>
            </w14:solidFill>
          </w14:textFill>
        </w:rPr>
      </w:pPr>
      <w:r>
        <w:rPr>
          <w:rFonts w:hint="eastAsia" w:asciiTheme="minorEastAsia" w:hAnsiTheme="minorEastAsia"/>
          <w:b/>
          <w:bCs/>
          <w:color w:val="000000" w:themeColor="text1"/>
          <w14:textFill>
            <w14:solidFill>
              <w14:schemeClr w14:val="tx1"/>
            </w14:solidFill>
          </w14:textFill>
        </w:rPr>
        <w:t>十六、接到中标通知后，三日内到医院</w:t>
      </w:r>
      <w:r>
        <w:rPr>
          <w:rFonts w:hint="eastAsia" w:asciiTheme="minorEastAsia" w:hAnsiTheme="minorEastAsia"/>
          <w:b/>
          <w:bCs/>
          <w:color w:val="000000" w:themeColor="text1"/>
          <w:lang w:eastAsia="zh-CN"/>
          <w14:textFill>
            <w14:solidFill>
              <w14:schemeClr w14:val="tx1"/>
            </w14:solidFill>
          </w14:textFill>
        </w:rPr>
        <w:t>招标采购办公室</w:t>
      </w:r>
      <w:r>
        <w:rPr>
          <w:rFonts w:hint="eastAsia" w:asciiTheme="minorEastAsia" w:hAnsiTheme="minorEastAsia"/>
          <w:b/>
          <w:bCs/>
          <w:color w:val="000000" w:themeColor="text1"/>
          <w14:textFill>
            <w14:solidFill>
              <w14:schemeClr w14:val="tx1"/>
            </w14:solidFill>
          </w14:textFill>
        </w:rPr>
        <w:t>签订合同。</w:t>
      </w:r>
    </w:p>
    <w:p>
      <w:pPr>
        <w:pStyle w:val="10"/>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p>
    <w:p>
      <w:pPr>
        <w:pStyle w:val="10"/>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850" w:h="16783"/>
      <w:pgMar w:top="1440" w:right="1800" w:bottom="1440" w:left="1800" w:header="840" w:footer="60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L&#10;3UTQAAAAAgEAAA8AAAAAAAAAAQAgAAAAIgAAAGRycy9kb3ducmV2LnhtbFBLAQIUABQAAAAIAIdO&#10;4kD53YI4uQEAAFYDAAAOAAAAAAAAAAEAIAAAAB8BAABkcnMvZTJvRG9jLnhtbFBLBQYAAAAABgAG&#10;AFkBAABK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F4"/>
    <w:rsid w:val="00001383"/>
    <w:rsid w:val="00017A17"/>
    <w:rsid w:val="00020CD1"/>
    <w:rsid w:val="00023C5B"/>
    <w:rsid w:val="00023F96"/>
    <w:rsid w:val="000258DB"/>
    <w:rsid w:val="000267C2"/>
    <w:rsid w:val="000356E6"/>
    <w:rsid w:val="00041E7C"/>
    <w:rsid w:val="00046E9F"/>
    <w:rsid w:val="000507A0"/>
    <w:rsid w:val="0006576A"/>
    <w:rsid w:val="000729AE"/>
    <w:rsid w:val="00073B17"/>
    <w:rsid w:val="0007475A"/>
    <w:rsid w:val="00074A66"/>
    <w:rsid w:val="00084370"/>
    <w:rsid w:val="00092996"/>
    <w:rsid w:val="00094DF6"/>
    <w:rsid w:val="000A0F23"/>
    <w:rsid w:val="000A2C2D"/>
    <w:rsid w:val="000B0244"/>
    <w:rsid w:val="000B64C5"/>
    <w:rsid w:val="000C626A"/>
    <w:rsid w:val="000D6074"/>
    <w:rsid w:val="000E6914"/>
    <w:rsid w:val="000F6336"/>
    <w:rsid w:val="000F695E"/>
    <w:rsid w:val="000F77E5"/>
    <w:rsid w:val="00102324"/>
    <w:rsid w:val="00104F0D"/>
    <w:rsid w:val="0010528D"/>
    <w:rsid w:val="00120A55"/>
    <w:rsid w:val="00135190"/>
    <w:rsid w:val="00166B19"/>
    <w:rsid w:val="001730E1"/>
    <w:rsid w:val="00180F82"/>
    <w:rsid w:val="001910E6"/>
    <w:rsid w:val="0019459E"/>
    <w:rsid w:val="00194FCF"/>
    <w:rsid w:val="00195E43"/>
    <w:rsid w:val="001A3707"/>
    <w:rsid w:val="001B4F37"/>
    <w:rsid w:val="001B5B11"/>
    <w:rsid w:val="001C274C"/>
    <w:rsid w:val="001C32C4"/>
    <w:rsid w:val="001C390B"/>
    <w:rsid w:val="001C6233"/>
    <w:rsid w:val="001C66D8"/>
    <w:rsid w:val="001E7F7D"/>
    <w:rsid w:val="001F09E0"/>
    <w:rsid w:val="001F3678"/>
    <w:rsid w:val="001F47D4"/>
    <w:rsid w:val="002167B0"/>
    <w:rsid w:val="00233B1C"/>
    <w:rsid w:val="00234918"/>
    <w:rsid w:val="002349BD"/>
    <w:rsid w:val="00236C7C"/>
    <w:rsid w:val="00254C81"/>
    <w:rsid w:val="00256287"/>
    <w:rsid w:val="00270188"/>
    <w:rsid w:val="00271446"/>
    <w:rsid w:val="002809C8"/>
    <w:rsid w:val="002877B9"/>
    <w:rsid w:val="002B06B0"/>
    <w:rsid w:val="002C03B5"/>
    <w:rsid w:val="002C18D5"/>
    <w:rsid w:val="002C31AD"/>
    <w:rsid w:val="002C734C"/>
    <w:rsid w:val="002D255F"/>
    <w:rsid w:val="002D257F"/>
    <w:rsid w:val="002D4ABD"/>
    <w:rsid w:val="002D5232"/>
    <w:rsid w:val="002E1A84"/>
    <w:rsid w:val="002F5665"/>
    <w:rsid w:val="002F5C0E"/>
    <w:rsid w:val="003000E8"/>
    <w:rsid w:val="003054A4"/>
    <w:rsid w:val="0031531E"/>
    <w:rsid w:val="00315625"/>
    <w:rsid w:val="00324C7D"/>
    <w:rsid w:val="00331251"/>
    <w:rsid w:val="0035077E"/>
    <w:rsid w:val="00352358"/>
    <w:rsid w:val="00364E23"/>
    <w:rsid w:val="00373546"/>
    <w:rsid w:val="003754A6"/>
    <w:rsid w:val="00375C7D"/>
    <w:rsid w:val="003805B7"/>
    <w:rsid w:val="00385206"/>
    <w:rsid w:val="00387F92"/>
    <w:rsid w:val="003928BD"/>
    <w:rsid w:val="0039516A"/>
    <w:rsid w:val="003A11AF"/>
    <w:rsid w:val="003A3633"/>
    <w:rsid w:val="003A4B05"/>
    <w:rsid w:val="003B3D13"/>
    <w:rsid w:val="003B40BD"/>
    <w:rsid w:val="003B61E9"/>
    <w:rsid w:val="003B63D4"/>
    <w:rsid w:val="003C04A3"/>
    <w:rsid w:val="003C04EB"/>
    <w:rsid w:val="003D78E6"/>
    <w:rsid w:val="00407DC5"/>
    <w:rsid w:val="004156E3"/>
    <w:rsid w:val="00423DFF"/>
    <w:rsid w:val="00424576"/>
    <w:rsid w:val="00424D88"/>
    <w:rsid w:val="0043154A"/>
    <w:rsid w:val="00440A7B"/>
    <w:rsid w:val="00452542"/>
    <w:rsid w:val="00453086"/>
    <w:rsid w:val="00461CBD"/>
    <w:rsid w:val="00462F8F"/>
    <w:rsid w:val="00484639"/>
    <w:rsid w:val="0048507E"/>
    <w:rsid w:val="004B24AD"/>
    <w:rsid w:val="004B2A6D"/>
    <w:rsid w:val="004B6026"/>
    <w:rsid w:val="004C24B3"/>
    <w:rsid w:val="004C55F7"/>
    <w:rsid w:val="004D1F56"/>
    <w:rsid w:val="004D35A5"/>
    <w:rsid w:val="004E3565"/>
    <w:rsid w:val="004E3E02"/>
    <w:rsid w:val="004E4C21"/>
    <w:rsid w:val="004E63E3"/>
    <w:rsid w:val="004E7970"/>
    <w:rsid w:val="004F2BB8"/>
    <w:rsid w:val="004F7AD9"/>
    <w:rsid w:val="004F7B56"/>
    <w:rsid w:val="00516C9D"/>
    <w:rsid w:val="005214BA"/>
    <w:rsid w:val="00524D1A"/>
    <w:rsid w:val="00527767"/>
    <w:rsid w:val="00537649"/>
    <w:rsid w:val="0055666D"/>
    <w:rsid w:val="0056140E"/>
    <w:rsid w:val="00562FED"/>
    <w:rsid w:val="00564B42"/>
    <w:rsid w:val="0056594A"/>
    <w:rsid w:val="00574749"/>
    <w:rsid w:val="005831AF"/>
    <w:rsid w:val="0058425B"/>
    <w:rsid w:val="00597A83"/>
    <w:rsid w:val="00597FA8"/>
    <w:rsid w:val="005D54FB"/>
    <w:rsid w:val="00612503"/>
    <w:rsid w:val="00621599"/>
    <w:rsid w:val="00647DEE"/>
    <w:rsid w:val="00650FD5"/>
    <w:rsid w:val="006543D7"/>
    <w:rsid w:val="00660D50"/>
    <w:rsid w:val="00672C5D"/>
    <w:rsid w:val="00673277"/>
    <w:rsid w:val="0068171C"/>
    <w:rsid w:val="0068258B"/>
    <w:rsid w:val="006845BE"/>
    <w:rsid w:val="00690B60"/>
    <w:rsid w:val="00692639"/>
    <w:rsid w:val="006A3768"/>
    <w:rsid w:val="006A755D"/>
    <w:rsid w:val="006D4D06"/>
    <w:rsid w:val="006E0332"/>
    <w:rsid w:val="006F6854"/>
    <w:rsid w:val="007004AB"/>
    <w:rsid w:val="00701769"/>
    <w:rsid w:val="00701E5E"/>
    <w:rsid w:val="007042F5"/>
    <w:rsid w:val="007078F9"/>
    <w:rsid w:val="00732371"/>
    <w:rsid w:val="00737CD5"/>
    <w:rsid w:val="00746E5E"/>
    <w:rsid w:val="00772CB5"/>
    <w:rsid w:val="0078081E"/>
    <w:rsid w:val="00786511"/>
    <w:rsid w:val="007A1100"/>
    <w:rsid w:val="007A2E22"/>
    <w:rsid w:val="007A3B10"/>
    <w:rsid w:val="007B4DA3"/>
    <w:rsid w:val="007B51EA"/>
    <w:rsid w:val="007C38E3"/>
    <w:rsid w:val="007C608F"/>
    <w:rsid w:val="007D5809"/>
    <w:rsid w:val="007D6615"/>
    <w:rsid w:val="007E1215"/>
    <w:rsid w:val="007F5CAB"/>
    <w:rsid w:val="0080619F"/>
    <w:rsid w:val="00807D75"/>
    <w:rsid w:val="00815FEB"/>
    <w:rsid w:val="00817D65"/>
    <w:rsid w:val="00821304"/>
    <w:rsid w:val="0083028F"/>
    <w:rsid w:val="008311CD"/>
    <w:rsid w:val="00837C23"/>
    <w:rsid w:val="00843DD7"/>
    <w:rsid w:val="00860910"/>
    <w:rsid w:val="0086320E"/>
    <w:rsid w:val="00866956"/>
    <w:rsid w:val="00867172"/>
    <w:rsid w:val="00882D4E"/>
    <w:rsid w:val="00885A4E"/>
    <w:rsid w:val="008A1AD8"/>
    <w:rsid w:val="008A5D4B"/>
    <w:rsid w:val="008A633C"/>
    <w:rsid w:val="008B360A"/>
    <w:rsid w:val="008B6F3F"/>
    <w:rsid w:val="008C4236"/>
    <w:rsid w:val="008C4D1A"/>
    <w:rsid w:val="008D0ED2"/>
    <w:rsid w:val="008D6A83"/>
    <w:rsid w:val="008F50B6"/>
    <w:rsid w:val="00901100"/>
    <w:rsid w:val="00910388"/>
    <w:rsid w:val="00911ABD"/>
    <w:rsid w:val="00921D55"/>
    <w:rsid w:val="009275FB"/>
    <w:rsid w:val="00931E67"/>
    <w:rsid w:val="0094184E"/>
    <w:rsid w:val="00947B14"/>
    <w:rsid w:val="00952450"/>
    <w:rsid w:val="009746CE"/>
    <w:rsid w:val="00981F36"/>
    <w:rsid w:val="0098350D"/>
    <w:rsid w:val="0098774E"/>
    <w:rsid w:val="009944A4"/>
    <w:rsid w:val="009A2808"/>
    <w:rsid w:val="009B185C"/>
    <w:rsid w:val="009B350A"/>
    <w:rsid w:val="009C1E54"/>
    <w:rsid w:val="009D6900"/>
    <w:rsid w:val="009E2556"/>
    <w:rsid w:val="009E7DC9"/>
    <w:rsid w:val="009F0050"/>
    <w:rsid w:val="009F38A9"/>
    <w:rsid w:val="009F5259"/>
    <w:rsid w:val="00A12F6E"/>
    <w:rsid w:val="00A251E5"/>
    <w:rsid w:val="00A31AE6"/>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821D0"/>
    <w:rsid w:val="00A874D1"/>
    <w:rsid w:val="00A912B4"/>
    <w:rsid w:val="00A9141B"/>
    <w:rsid w:val="00A97C2E"/>
    <w:rsid w:val="00AA095B"/>
    <w:rsid w:val="00AC5279"/>
    <w:rsid w:val="00AD50CF"/>
    <w:rsid w:val="00AE0CE0"/>
    <w:rsid w:val="00AE1D02"/>
    <w:rsid w:val="00AE25C2"/>
    <w:rsid w:val="00AE33E9"/>
    <w:rsid w:val="00AF2CAC"/>
    <w:rsid w:val="00B10387"/>
    <w:rsid w:val="00B117AA"/>
    <w:rsid w:val="00B137AF"/>
    <w:rsid w:val="00B228EF"/>
    <w:rsid w:val="00B234D8"/>
    <w:rsid w:val="00B3076F"/>
    <w:rsid w:val="00B311B7"/>
    <w:rsid w:val="00B31ADD"/>
    <w:rsid w:val="00B34120"/>
    <w:rsid w:val="00B3744B"/>
    <w:rsid w:val="00B3794C"/>
    <w:rsid w:val="00B546BA"/>
    <w:rsid w:val="00B54BE7"/>
    <w:rsid w:val="00B65BCF"/>
    <w:rsid w:val="00B666B9"/>
    <w:rsid w:val="00B802B4"/>
    <w:rsid w:val="00B82974"/>
    <w:rsid w:val="00B878D0"/>
    <w:rsid w:val="00B95F52"/>
    <w:rsid w:val="00B966EC"/>
    <w:rsid w:val="00BA0AF3"/>
    <w:rsid w:val="00BC2C93"/>
    <w:rsid w:val="00BE0BCA"/>
    <w:rsid w:val="00C01FED"/>
    <w:rsid w:val="00C07095"/>
    <w:rsid w:val="00C0789D"/>
    <w:rsid w:val="00C11CB4"/>
    <w:rsid w:val="00C130B2"/>
    <w:rsid w:val="00C16621"/>
    <w:rsid w:val="00C216A6"/>
    <w:rsid w:val="00C2429E"/>
    <w:rsid w:val="00C242B9"/>
    <w:rsid w:val="00C259CC"/>
    <w:rsid w:val="00C37BE2"/>
    <w:rsid w:val="00C41EBF"/>
    <w:rsid w:val="00C45EAF"/>
    <w:rsid w:val="00C572E7"/>
    <w:rsid w:val="00C60288"/>
    <w:rsid w:val="00C60541"/>
    <w:rsid w:val="00C611DD"/>
    <w:rsid w:val="00C61ED5"/>
    <w:rsid w:val="00C630C6"/>
    <w:rsid w:val="00C70CFB"/>
    <w:rsid w:val="00C71052"/>
    <w:rsid w:val="00C7182D"/>
    <w:rsid w:val="00C808A3"/>
    <w:rsid w:val="00C82A5F"/>
    <w:rsid w:val="00C85637"/>
    <w:rsid w:val="00C914DD"/>
    <w:rsid w:val="00C92061"/>
    <w:rsid w:val="00C94DD6"/>
    <w:rsid w:val="00CA347B"/>
    <w:rsid w:val="00CA44DA"/>
    <w:rsid w:val="00CA4864"/>
    <w:rsid w:val="00CA5147"/>
    <w:rsid w:val="00CC6AFA"/>
    <w:rsid w:val="00CC7490"/>
    <w:rsid w:val="00CD1A32"/>
    <w:rsid w:val="00CD40CB"/>
    <w:rsid w:val="00CE1616"/>
    <w:rsid w:val="00CE17B4"/>
    <w:rsid w:val="00CE403E"/>
    <w:rsid w:val="00CE7F59"/>
    <w:rsid w:val="00CF5A00"/>
    <w:rsid w:val="00D00469"/>
    <w:rsid w:val="00D013A6"/>
    <w:rsid w:val="00D0347A"/>
    <w:rsid w:val="00D07877"/>
    <w:rsid w:val="00D125ED"/>
    <w:rsid w:val="00D31DC7"/>
    <w:rsid w:val="00D32DAC"/>
    <w:rsid w:val="00D35A8B"/>
    <w:rsid w:val="00D4153B"/>
    <w:rsid w:val="00D45942"/>
    <w:rsid w:val="00D45F89"/>
    <w:rsid w:val="00D503D6"/>
    <w:rsid w:val="00D5307C"/>
    <w:rsid w:val="00D54FBF"/>
    <w:rsid w:val="00D63BB2"/>
    <w:rsid w:val="00D80122"/>
    <w:rsid w:val="00DB2E2C"/>
    <w:rsid w:val="00DB3248"/>
    <w:rsid w:val="00DB5979"/>
    <w:rsid w:val="00DD5212"/>
    <w:rsid w:val="00DE44B0"/>
    <w:rsid w:val="00DF0D19"/>
    <w:rsid w:val="00E0088A"/>
    <w:rsid w:val="00E04A4C"/>
    <w:rsid w:val="00E10760"/>
    <w:rsid w:val="00E177A0"/>
    <w:rsid w:val="00E208A6"/>
    <w:rsid w:val="00E36E82"/>
    <w:rsid w:val="00E536F1"/>
    <w:rsid w:val="00E61210"/>
    <w:rsid w:val="00E649B9"/>
    <w:rsid w:val="00E64EB3"/>
    <w:rsid w:val="00E6584C"/>
    <w:rsid w:val="00E80620"/>
    <w:rsid w:val="00EA4BAB"/>
    <w:rsid w:val="00EB3DD5"/>
    <w:rsid w:val="00EC7C2B"/>
    <w:rsid w:val="00EE13F4"/>
    <w:rsid w:val="00EF2400"/>
    <w:rsid w:val="00EF2F60"/>
    <w:rsid w:val="00EF5D74"/>
    <w:rsid w:val="00F11D3D"/>
    <w:rsid w:val="00F13A55"/>
    <w:rsid w:val="00F161E3"/>
    <w:rsid w:val="00F22CED"/>
    <w:rsid w:val="00F33634"/>
    <w:rsid w:val="00F347AF"/>
    <w:rsid w:val="00F37A6B"/>
    <w:rsid w:val="00F41255"/>
    <w:rsid w:val="00F52524"/>
    <w:rsid w:val="00F553A7"/>
    <w:rsid w:val="00F615BB"/>
    <w:rsid w:val="00F66FB6"/>
    <w:rsid w:val="00F71A1B"/>
    <w:rsid w:val="00F75989"/>
    <w:rsid w:val="00F7756C"/>
    <w:rsid w:val="00F77746"/>
    <w:rsid w:val="00F808D7"/>
    <w:rsid w:val="00F809E0"/>
    <w:rsid w:val="00F84F87"/>
    <w:rsid w:val="00F87684"/>
    <w:rsid w:val="00F92AC6"/>
    <w:rsid w:val="00F95738"/>
    <w:rsid w:val="00FC5A79"/>
    <w:rsid w:val="00FC7F30"/>
    <w:rsid w:val="00FD1F65"/>
    <w:rsid w:val="00FE0C6E"/>
    <w:rsid w:val="00FE65CB"/>
    <w:rsid w:val="00FF2477"/>
    <w:rsid w:val="00FF7219"/>
    <w:rsid w:val="01923454"/>
    <w:rsid w:val="020D020A"/>
    <w:rsid w:val="03C5776D"/>
    <w:rsid w:val="04813ACB"/>
    <w:rsid w:val="04EC582C"/>
    <w:rsid w:val="05DA5A3E"/>
    <w:rsid w:val="074C5327"/>
    <w:rsid w:val="078D1BB1"/>
    <w:rsid w:val="08E6336B"/>
    <w:rsid w:val="094D3FED"/>
    <w:rsid w:val="09D81428"/>
    <w:rsid w:val="0A723425"/>
    <w:rsid w:val="0AB4190F"/>
    <w:rsid w:val="0ADF2677"/>
    <w:rsid w:val="0B3D43EC"/>
    <w:rsid w:val="0C1E312B"/>
    <w:rsid w:val="0C692972"/>
    <w:rsid w:val="0D07564B"/>
    <w:rsid w:val="0D220DDB"/>
    <w:rsid w:val="0F0A1095"/>
    <w:rsid w:val="0F5B1DBC"/>
    <w:rsid w:val="10261C9C"/>
    <w:rsid w:val="116756CF"/>
    <w:rsid w:val="13595FE6"/>
    <w:rsid w:val="14707839"/>
    <w:rsid w:val="14B253D3"/>
    <w:rsid w:val="152751AF"/>
    <w:rsid w:val="19D35DC9"/>
    <w:rsid w:val="1A52404B"/>
    <w:rsid w:val="1A9E024A"/>
    <w:rsid w:val="1ACA29D1"/>
    <w:rsid w:val="1D4775EF"/>
    <w:rsid w:val="1F371190"/>
    <w:rsid w:val="1FF54705"/>
    <w:rsid w:val="208F2472"/>
    <w:rsid w:val="21C625DA"/>
    <w:rsid w:val="23615460"/>
    <w:rsid w:val="23747613"/>
    <w:rsid w:val="244442CD"/>
    <w:rsid w:val="247B2597"/>
    <w:rsid w:val="24D02F41"/>
    <w:rsid w:val="24E00DDD"/>
    <w:rsid w:val="25504E0F"/>
    <w:rsid w:val="25DA6195"/>
    <w:rsid w:val="26281C07"/>
    <w:rsid w:val="29F47ABF"/>
    <w:rsid w:val="2A9D52C2"/>
    <w:rsid w:val="2B88597E"/>
    <w:rsid w:val="2BFB59F1"/>
    <w:rsid w:val="2C1F2B9A"/>
    <w:rsid w:val="2D7517EB"/>
    <w:rsid w:val="2E4A07B3"/>
    <w:rsid w:val="315370EC"/>
    <w:rsid w:val="316D0094"/>
    <w:rsid w:val="31A94C48"/>
    <w:rsid w:val="31BE24B6"/>
    <w:rsid w:val="32321CD2"/>
    <w:rsid w:val="32CA6D8F"/>
    <w:rsid w:val="331C4B44"/>
    <w:rsid w:val="35057B65"/>
    <w:rsid w:val="3538296D"/>
    <w:rsid w:val="36574234"/>
    <w:rsid w:val="36B760B0"/>
    <w:rsid w:val="3787127A"/>
    <w:rsid w:val="386B5980"/>
    <w:rsid w:val="38802CC7"/>
    <w:rsid w:val="38883787"/>
    <w:rsid w:val="3A190A5E"/>
    <w:rsid w:val="3A924D4F"/>
    <w:rsid w:val="3AA66558"/>
    <w:rsid w:val="3AEC01E1"/>
    <w:rsid w:val="3B187370"/>
    <w:rsid w:val="3BB5427C"/>
    <w:rsid w:val="3CAC4D06"/>
    <w:rsid w:val="3E665485"/>
    <w:rsid w:val="40220240"/>
    <w:rsid w:val="424312A0"/>
    <w:rsid w:val="43C033A1"/>
    <w:rsid w:val="44043C18"/>
    <w:rsid w:val="444D1816"/>
    <w:rsid w:val="45194719"/>
    <w:rsid w:val="46240B0E"/>
    <w:rsid w:val="46352C08"/>
    <w:rsid w:val="47303E04"/>
    <w:rsid w:val="473F2B5F"/>
    <w:rsid w:val="48FF6E54"/>
    <w:rsid w:val="495B2B8A"/>
    <w:rsid w:val="4A104B25"/>
    <w:rsid w:val="4B652FF4"/>
    <w:rsid w:val="4BD81567"/>
    <w:rsid w:val="4BEA169F"/>
    <w:rsid w:val="4CE4330A"/>
    <w:rsid w:val="4DAD16F6"/>
    <w:rsid w:val="4E48433F"/>
    <w:rsid w:val="4EFB6494"/>
    <w:rsid w:val="4F3A4C55"/>
    <w:rsid w:val="50344926"/>
    <w:rsid w:val="52952C1E"/>
    <w:rsid w:val="52CF37E5"/>
    <w:rsid w:val="531D4093"/>
    <w:rsid w:val="53B060C3"/>
    <w:rsid w:val="54056B94"/>
    <w:rsid w:val="54341AC5"/>
    <w:rsid w:val="5467502C"/>
    <w:rsid w:val="547C14B4"/>
    <w:rsid w:val="54BF7AD6"/>
    <w:rsid w:val="54D547F1"/>
    <w:rsid w:val="58502056"/>
    <w:rsid w:val="5A3F1405"/>
    <w:rsid w:val="5D8553CC"/>
    <w:rsid w:val="5D8B6232"/>
    <w:rsid w:val="5E2E66F1"/>
    <w:rsid w:val="5E831AB7"/>
    <w:rsid w:val="5F3C4638"/>
    <w:rsid w:val="5FAC07FE"/>
    <w:rsid w:val="5FE61DA6"/>
    <w:rsid w:val="60123788"/>
    <w:rsid w:val="60192C7D"/>
    <w:rsid w:val="602E133A"/>
    <w:rsid w:val="61FE6238"/>
    <w:rsid w:val="622D62B6"/>
    <w:rsid w:val="62601902"/>
    <w:rsid w:val="628570D2"/>
    <w:rsid w:val="62922E73"/>
    <w:rsid w:val="637E0BE3"/>
    <w:rsid w:val="64CF1C0E"/>
    <w:rsid w:val="669B5141"/>
    <w:rsid w:val="66CD6CBE"/>
    <w:rsid w:val="66F219EB"/>
    <w:rsid w:val="679643D0"/>
    <w:rsid w:val="67B646CE"/>
    <w:rsid w:val="68692E9E"/>
    <w:rsid w:val="68CD380D"/>
    <w:rsid w:val="695A54BE"/>
    <w:rsid w:val="699904FE"/>
    <w:rsid w:val="6AC01C73"/>
    <w:rsid w:val="6B9E631E"/>
    <w:rsid w:val="6BDE0052"/>
    <w:rsid w:val="6D0214C1"/>
    <w:rsid w:val="6D151B81"/>
    <w:rsid w:val="6DD66014"/>
    <w:rsid w:val="6E225874"/>
    <w:rsid w:val="6ED90310"/>
    <w:rsid w:val="6EEA144F"/>
    <w:rsid w:val="6F77477B"/>
    <w:rsid w:val="6FC0247A"/>
    <w:rsid w:val="7124600B"/>
    <w:rsid w:val="729C27FC"/>
    <w:rsid w:val="72F070B8"/>
    <w:rsid w:val="733D5D13"/>
    <w:rsid w:val="73466C80"/>
    <w:rsid w:val="740A1BD8"/>
    <w:rsid w:val="74D6475B"/>
    <w:rsid w:val="75552541"/>
    <w:rsid w:val="75E06AF0"/>
    <w:rsid w:val="76C30BB1"/>
    <w:rsid w:val="77197F9C"/>
    <w:rsid w:val="772F034E"/>
    <w:rsid w:val="77951FBF"/>
    <w:rsid w:val="78012BF2"/>
    <w:rsid w:val="7A0221CB"/>
    <w:rsid w:val="7A834C72"/>
    <w:rsid w:val="7AF25F69"/>
    <w:rsid w:val="7C764383"/>
    <w:rsid w:val="7C83138E"/>
    <w:rsid w:val="7CD3245C"/>
    <w:rsid w:val="7D763AEE"/>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tabs>
        <w:tab w:val="left" w:pos="8280"/>
      </w:tabs>
      <w:spacing w:after="120"/>
      <w:ind w:left="420" w:leftChars="200" w:firstLine="420"/>
    </w:pPr>
    <w:rPr>
      <w:rFonts w:ascii="Calibri" w:hAnsi="Calibri"/>
      <w:sz w:val="21"/>
      <w:szCs w:val="24"/>
    </w:rPr>
  </w:style>
  <w:style w:type="paragraph" w:styleId="3">
    <w:name w:val="Body Text Indent"/>
    <w:basedOn w:val="1"/>
    <w:qFormat/>
    <w:uiPriority w:val="0"/>
    <w:pPr>
      <w:tabs>
        <w:tab w:val="left" w:pos="8280"/>
      </w:tabs>
      <w:spacing w:line="360" w:lineRule="auto"/>
      <w:ind w:firstLine="480" w:firstLineChars="200"/>
    </w:pPr>
    <w:rPr>
      <w:rFonts w:ascii="仿宋_GB2312" w:eastAsia="仿宋_GB2312"/>
      <w:sz w:val="24"/>
      <w:szCs w:val="24"/>
    </w:rPr>
  </w:style>
  <w:style w:type="paragraph" w:styleId="4">
    <w:name w:val="Body Text First Indent"/>
    <w:basedOn w:val="5"/>
    <w:link w:val="21"/>
    <w:qFormat/>
    <w:uiPriority w:val="0"/>
    <w:pPr>
      <w:spacing w:after="0"/>
      <w:ind w:firstLine="420" w:firstLineChars="100"/>
    </w:pPr>
    <w:rPr>
      <w:rFonts w:eastAsia="仿宋_GB2312"/>
      <w:sz w:val="24"/>
      <w:szCs w:val="21"/>
    </w:rPr>
  </w:style>
  <w:style w:type="paragraph" w:styleId="5">
    <w:name w:val="Body Text"/>
    <w:basedOn w:val="1"/>
    <w:link w:val="20"/>
    <w:semiHidden/>
    <w:unhideWhenUsed/>
    <w:qFormat/>
    <w:uiPriority w:val="99"/>
    <w:pPr>
      <w:spacing w:after="120"/>
    </w:pPr>
  </w:style>
  <w:style w:type="paragraph" w:styleId="6">
    <w:name w:val="Date"/>
    <w:basedOn w:val="1"/>
    <w:next w:val="1"/>
    <w:link w:val="19"/>
    <w:qFormat/>
    <w:uiPriority w:val="0"/>
    <w:pPr>
      <w:ind w:left="100" w:leftChars="2500"/>
    </w:p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0"/>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0"/>
    <w:rPr>
      <w:b/>
    </w:rPr>
  </w:style>
  <w:style w:type="table" w:styleId="14">
    <w:name w:val="Table Grid"/>
    <w:basedOn w:val="13"/>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页眉 Char"/>
    <w:basedOn w:val="11"/>
    <w:link w:val="9"/>
    <w:qFormat/>
    <w:uiPriority w:val="0"/>
    <w:rPr>
      <w:sz w:val="18"/>
      <w:szCs w:val="18"/>
    </w:rPr>
  </w:style>
  <w:style w:type="character" w:customStyle="1" w:styleId="16">
    <w:name w:val="页脚 Char"/>
    <w:basedOn w:val="11"/>
    <w:link w:val="8"/>
    <w:qFormat/>
    <w:uiPriority w:val="0"/>
    <w:rPr>
      <w:sz w:val="18"/>
      <w:szCs w:val="18"/>
    </w:rPr>
  </w:style>
  <w:style w:type="character" w:customStyle="1" w:styleId="17">
    <w:name w:val="批注框文本 Char"/>
    <w:basedOn w:val="11"/>
    <w:link w:val="7"/>
    <w:semiHidden/>
    <w:qFormat/>
    <w:uiPriority w:val="99"/>
    <w:rPr>
      <w:kern w:val="2"/>
      <w:sz w:val="18"/>
      <w:szCs w:val="18"/>
    </w:rPr>
  </w:style>
  <w:style w:type="paragraph" w:customStyle="1" w:styleId="18">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9">
    <w:name w:val="日期 Char"/>
    <w:basedOn w:val="11"/>
    <w:link w:val="6"/>
    <w:qFormat/>
    <w:uiPriority w:val="0"/>
    <w:rPr>
      <w:kern w:val="2"/>
      <w:sz w:val="21"/>
      <w:szCs w:val="24"/>
    </w:rPr>
  </w:style>
  <w:style w:type="character" w:customStyle="1" w:styleId="20">
    <w:name w:val="正文文本 Char"/>
    <w:basedOn w:val="11"/>
    <w:link w:val="5"/>
    <w:semiHidden/>
    <w:qFormat/>
    <w:uiPriority w:val="99"/>
    <w:rPr>
      <w:kern w:val="2"/>
      <w:sz w:val="21"/>
      <w:szCs w:val="24"/>
    </w:rPr>
  </w:style>
  <w:style w:type="character" w:customStyle="1" w:styleId="21">
    <w:name w:val="正文首行缩进 Char"/>
    <w:basedOn w:val="20"/>
    <w:link w:val="4"/>
    <w:qFormat/>
    <w:uiPriority w:val="0"/>
    <w:rPr>
      <w:rFonts w:eastAsia="仿宋_GB2312"/>
      <w:sz w:val="24"/>
      <w:szCs w:val="21"/>
    </w:rPr>
  </w:style>
  <w:style w:type="paragraph" w:customStyle="1" w:styleId="2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3">
    <w:name w:val="网格型1"/>
    <w:basedOn w:val="1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50AE2-3CA1-407B-AEB7-E66BEC4C7CF2}">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5</Pages>
  <Words>569</Words>
  <Characters>3244</Characters>
  <Lines>27</Lines>
  <Paragraphs>7</Paragraphs>
  <TotalTime>1</TotalTime>
  <ScaleCrop>false</ScaleCrop>
  <LinksUpToDate>false</LinksUpToDate>
  <CharactersWithSpaces>3806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2025-01-20T06:20:00Z</dcterms:created>
  <dc:creator>lenovo</dc:creator>
  <cp:lastModifiedBy>Administrator</cp:lastModifiedBy>
  <cp:lastPrinted>2026-04-27T05:56:00Z</cp:lastPrinted>
  <dcterms:modified xsi:type="dcterms:W3CDTF">2026-04-27T07:00:16Z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31E89DB0242841D889F13568FB956F29</vt:lpwstr>
  </property>
</Properties>
</file>