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Theme="minorEastAsia" w:hAnsiTheme="minorEastAsia" w:eastAsiaTheme="minorEastAsia" w:cstheme="minorEastAsia"/>
          <w:sz w:val="44"/>
          <w:szCs w:val="44"/>
        </w:rPr>
      </w:pPr>
      <w:bookmarkStart w:id="0" w:name="OLE_LINK1"/>
      <w:r>
        <w:rPr>
          <w:rFonts w:hint="eastAsia" w:asciiTheme="minorEastAsia" w:hAnsiTheme="minorEastAsia" w:eastAsiaTheme="minorEastAsia" w:cstheme="minorEastAsia"/>
          <w:sz w:val="30"/>
          <w:szCs w:val="30"/>
          <w:lang w:val="en-US" w:eastAsia="zh-CN"/>
        </w:rPr>
        <w:t>大庆市第五医院检验科新产业4000PIUS全自动化学发光免疫分析仪配套使用耗材采购项目单一来源采购公告</w:t>
      </w:r>
      <w:bookmarkEnd w:id="0"/>
    </w:p>
    <w:p>
      <w:pPr>
        <w:widowControl/>
        <w:spacing w:line="480" w:lineRule="exact"/>
        <w:jc w:val="center"/>
        <w:rPr>
          <w:rFonts w:hint="eastAsia" w:asciiTheme="minorEastAsia" w:hAnsiTheme="minorEastAsia" w:eastAsiaTheme="minorEastAsia" w:cstheme="minorEastAsia"/>
          <w:b/>
          <w:bCs/>
          <w:kern w:val="0"/>
          <w:sz w:val="30"/>
          <w:szCs w:val="30"/>
        </w:rPr>
      </w:pPr>
    </w:p>
    <w:p>
      <w:pPr>
        <w:widowControl/>
        <w:numPr>
          <w:ilvl w:val="0"/>
          <w:numId w:val="1"/>
        </w:numPr>
        <w:spacing w:line="480" w:lineRule="exact"/>
        <w:jc w:val="left"/>
        <w:rPr>
          <w:rFonts w:hint="eastAsia" w:cs="宋体" w:asciiTheme="minorEastAsia" w:hAnsiTheme="minorEastAsia" w:eastAsiaTheme="minorEastAsia"/>
          <w:bCs/>
          <w:kern w:val="0"/>
          <w:sz w:val="24"/>
          <w:lang w:val="en-US" w:eastAsia="zh-CN"/>
        </w:rPr>
      </w:pPr>
      <w:r>
        <w:rPr>
          <w:rFonts w:hint="eastAsia" w:cs="宋体" w:asciiTheme="minorEastAsia" w:hAnsiTheme="minorEastAsia" w:eastAsiaTheme="minorEastAsia"/>
          <w:b/>
          <w:bCs/>
          <w:kern w:val="0"/>
          <w:sz w:val="24"/>
        </w:rPr>
        <w:t>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2026010</w:t>
      </w:r>
    </w:p>
    <w:p>
      <w:pPr>
        <w:widowControl/>
        <w:numPr>
          <w:ilvl w:val="0"/>
          <w:numId w:val="1"/>
        </w:numPr>
        <w:spacing w:line="480" w:lineRule="exact"/>
        <w:ind w:left="0" w:leftChars="0" w:firstLine="0" w:firstLineChars="0"/>
        <w:jc w:val="left"/>
        <w:rPr>
          <w:rFonts w:hint="eastAsia" w:cs="宋体" w:asciiTheme="minorEastAsia" w:hAnsiTheme="minorEastAsia" w:eastAsiaTheme="minorEastAsia"/>
          <w:bCs/>
          <w:kern w:val="0"/>
          <w:sz w:val="24"/>
          <w:lang w:val="en-US" w:eastAsia="zh-CN"/>
        </w:rPr>
      </w:pPr>
      <w:r>
        <w:rPr>
          <w:rFonts w:hint="eastAsia" w:cs="宋体" w:asciiTheme="minorEastAsia" w:hAnsiTheme="minorEastAsia" w:eastAsiaTheme="minorEastAsia"/>
          <w:b/>
          <w:bCs/>
          <w:kern w:val="0"/>
          <w:sz w:val="24"/>
        </w:rPr>
        <w:t>项目名称:</w:t>
      </w:r>
      <w:r>
        <w:rPr>
          <w:rFonts w:hint="eastAsia"/>
        </w:rPr>
        <w:t xml:space="preserve"> </w:t>
      </w:r>
      <w:r>
        <w:rPr>
          <w:rFonts w:hint="eastAsia" w:cs="宋体" w:asciiTheme="minorEastAsia" w:hAnsiTheme="minorEastAsia" w:eastAsiaTheme="minorEastAsia"/>
          <w:kern w:val="0"/>
          <w:sz w:val="24"/>
          <w:szCs w:val="24"/>
          <w:lang w:val="en-US" w:eastAsia="zh-CN" w:bidi="ar-SA"/>
        </w:rPr>
        <w:t>大庆市第五医院检验科新产业4000PIUS全自动化学发光免疫分析仪配套使用耗材采购项目单一来源采购公告</w:t>
      </w:r>
    </w:p>
    <w:p>
      <w:pPr>
        <w:widowControl/>
        <w:numPr>
          <w:ilvl w:val="0"/>
          <w:numId w:val="1"/>
        </w:numPr>
        <w:spacing w:line="480" w:lineRule="exact"/>
        <w:ind w:left="0" w:leftChars="0" w:firstLine="0" w:firstLineChars="0"/>
        <w:jc w:val="left"/>
        <w:rPr>
          <w:rFonts w:hint="eastAsia" w:cs="宋体" w:asciiTheme="minorEastAsia" w:hAnsiTheme="minorEastAsia" w:eastAsiaTheme="minorEastAsia"/>
          <w:bCs/>
          <w:kern w:val="0"/>
          <w:sz w:val="24"/>
          <w:lang w:val="en-US" w:eastAsia="zh-CN"/>
        </w:rPr>
      </w:pPr>
      <w:r>
        <w:rPr>
          <w:rFonts w:hint="eastAsia" w:cs="宋体" w:asciiTheme="minorEastAsia" w:hAnsiTheme="minorEastAsia" w:eastAsiaTheme="minorEastAsia"/>
          <w:b/>
          <w:bCs/>
          <w:kern w:val="0"/>
          <w:sz w:val="24"/>
        </w:rPr>
        <w:t>采购类型:</w:t>
      </w:r>
      <w:r>
        <w:rPr>
          <w:rFonts w:hint="eastAsia" w:cs="宋体" w:asciiTheme="minorEastAsia" w:hAnsiTheme="minorEastAsia" w:eastAsiaTheme="minorEastAsia"/>
          <w:bCs/>
          <w:kern w:val="0"/>
          <w:sz w:val="24"/>
          <w:lang w:val="en-US" w:eastAsia="zh-CN"/>
        </w:rPr>
        <w:t>单一来源（合同期限为一年）据实结算。</w:t>
      </w:r>
    </w:p>
    <w:p>
      <w:pPr>
        <w:widowControl/>
        <w:numPr>
          <w:ilvl w:val="0"/>
          <w:numId w:val="0"/>
        </w:numPr>
        <w:spacing w:line="480" w:lineRule="exact"/>
        <w:ind w:leftChars="0" w:firstLine="482" w:firstLineChars="200"/>
        <w:jc w:val="left"/>
        <w:rPr>
          <w:rFonts w:hint="eastAsia" w:cs="宋体" w:asciiTheme="minorEastAsia" w:hAnsiTheme="minorEastAsia" w:eastAsiaTheme="minorEastAsia"/>
          <w:bCs/>
          <w:kern w:val="0"/>
          <w:sz w:val="24"/>
          <w:lang w:val="en-US" w:eastAsia="zh-CN"/>
        </w:rPr>
      </w:pPr>
      <w:r>
        <w:rPr>
          <w:rFonts w:hint="eastAsia" w:cs="宋体" w:asciiTheme="minorEastAsia" w:hAnsiTheme="minorEastAsia" w:eastAsiaTheme="minorEastAsia"/>
          <w:b/>
          <w:bCs/>
          <w:kern w:val="0"/>
          <w:sz w:val="24"/>
          <w:lang w:val="en-US" w:eastAsia="zh-CN"/>
        </w:rPr>
        <w:t>推荐供应商：</w:t>
      </w:r>
      <w:r>
        <w:rPr>
          <w:rFonts w:hint="eastAsia" w:cs="宋体" w:asciiTheme="minorEastAsia" w:hAnsiTheme="minorEastAsia" w:eastAsiaTheme="minorEastAsia"/>
          <w:bCs/>
          <w:kern w:val="0"/>
          <w:sz w:val="24"/>
          <w:lang w:val="en-US" w:eastAsia="zh-CN"/>
        </w:rPr>
        <w:t>哈尔滨同禹生物技术有限公司</w:t>
      </w:r>
    </w:p>
    <w:p>
      <w:pPr>
        <w:pStyle w:val="10"/>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10"/>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10"/>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11</w:t>
      </w:r>
      <w:r>
        <w:rPr>
          <w:rFonts w:hint="eastAsia" w:asciiTheme="minorEastAsia" w:hAnsiTheme="minorEastAsia" w:eastAsiaTheme="minorEastAsia"/>
          <w:bCs/>
        </w:rPr>
        <w:t xml:space="preserve"> 日止</w:t>
      </w:r>
    </w:p>
    <w:p>
      <w:pPr>
        <w:pStyle w:val="10"/>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10"/>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12、能与我院</w:t>
      </w:r>
      <w:r>
        <w:rPr>
          <w:rFonts w:hint="eastAsia" w:cs="宋体" w:asciiTheme="minorEastAsia" w:hAnsiTheme="minorEastAsia" w:eastAsiaTheme="minorEastAsia"/>
          <w:bCs/>
          <w:kern w:val="0"/>
          <w:sz w:val="24"/>
          <w:lang w:val="en-US" w:eastAsia="zh-CN"/>
        </w:rPr>
        <w:t>新产业4000PIUS全自动化学发光免疫分析仪</w:t>
      </w:r>
      <w:r>
        <w:rPr>
          <w:rFonts w:hint="eastAsia" w:ascii="宋体" w:hAnsi="宋体" w:cs="宋体"/>
          <w:color w:val="auto"/>
          <w:sz w:val="24"/>
        </w:rPr>
        <w:t>配套使用</w:t>
      </w:r>
      <w:r>
        <w:rPr>
          <w:rFonts w:hint="eastAsia" w:ascii="宋体" w:hAnsi="宋体" w:cs="宋体"/>
          <w:sz w:val="24"/>
        </w:rPr>
        <w:t>。</w:t>
      </w:r>
    </w:p>
    <w:p>
      <w:pPr>
        <w:snapToGrid w:val="0"/>
        <w:spacing w:line="348" w:lineRule="auto"/>
        <w:rPr>
          <w:rFonts w:ascii="宋体" w:hAnsi="宋体" w:cs="宋体"/>
          <w:sz w:val="24"/>
        </w:rPr>
      </w:pPr>
      <w:r>
        <w:rPr>
          <w:rFonts w:hint="eastAsia" w:ascii="宋体" w:hAnsi="宋体" w:cs="宋体"/>
          <w:sz w:val="24"/>
        </w:rPr>
        <w:t>13、来院索参。</w:t>
      </w:r>
    </w:p>
    <w:p>
      <w:pPr>
        <w:pStyle w:val="10"/>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6</w:t>
      </w:r>
      <w:r>
        <w:rPr>
          <w:rFonts w:hint="eastAsia" w:asciiTheme="minorEastAsia" w:hAnsiTheme="minorEastAsia"/>
        </w:rPr>
        <w:t xml:space="preserve"> 月 </w:t>
      </w:r>
      <w:r>
        <w:rPr>
          <w:rFonts w:hint="eastAsia" w:asciiTheme="minorEastAsia" w:hAnsiTheme="minorEastAsia"/>
          <w:lang w:val="en-US" w:eastAsia="zh-CN"/>
        </w:rPr>
        <w:t>11</w:t>
      </w:r>
      <w:r>
        <w:rPr>
          <w:rFonts w:hint="eastAsia" w:asciiTheme="minorEastAsia" w:hAnsiTheme="minorEastAsia"/>
        </w:rPr>
        <w:t xml:space="preserve"> 日</w:t>
      </w:r>
      <w:r>
        <w:rPr>
          <w:rFonts w:hint="eastAsia" w:asciiTheme="minorEastAsia" w:hAnsiTheme="minorEastAsia"/>
          <w:lang w:val="en-US" w:eastAsia="zh-CN"/>
        </w:rPr>
        <w:t>16</w:t>
      </w:r>
      <w:bookmarkStart w:id="1" w:name="_GoBack"/>
      <w:bookmarkEnd w:id="1"/>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10"/>
        <w:numPr>
          <w:ilvl w:val="0"/>
          <w:numId w:val="2"/>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10"/>
        <w:numPr>
          <w:ilvl w:val="0"/>
          <w:numId w:val="2"/>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10"/>
        <w:numPr>
          <w:ilvl w:val="0"/>
          <w:numId w:val="2"/>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10"/>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周卫洁</w:t>
      </w:r>
    </w:p>
    <w:p>
      <w:pPr>
        <w:pStyle w:val="10"/>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10"/>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10"/>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10"/>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3"/>
        <w:tblpPr w:leftFromText="180" w:rightFromText="180" w:vertAnchor="text" w:horzAnchor="page" w:tblpX="1350" w:tblpY="615"/>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81"/>
        <w:gridCol w:w="1307"/>
        <w:gridCol w:w="424"/>
        <w:gridCol w:w="2903"/>
        <w:gridCol w:w="500"/>
        <w:gridCol w:w="822"/>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697" w:type="dxa"/>
            <w:shd w:val="clear" w:color="000000" w:fill="FFFFFF"/>
            <w:noWrap w:val="0"/>
            <w:vAlign w:val="center"/>
          </w:tcPr>
          <w:p>
            <w:pPr>
              <w:widowControl/>
              <w:snapToGrid w:val="0"/>
              <w:ind w:left="0" w:leftChars="0" w:right="0" w:rightChars="0" w:firstLine="0" w:firstLineChars="0"/>
              <w:jc w:val="center"/>
              <w:rPr>
                <w:rFonts w:ascii="宋体" w:eastAsia="宋体" w:cs="宋体"/>
                <w:b/>
                <w:bCs/>
                <w:kern w:val="0"/>
                <w:sz w:val="18"/>
                <w:szCs w:val="18"/>
              </w:rPr>
            </w:pPr>
            <w:r>
              <w:rPr>
                <w:rFonts w:hint="eastAsia" w:ascii="宋体" w:hAnsi="宋体" w:eastAsia="宋体" w:cs="宋体"/>
                <w:b/>
                <w:bCs/>
                <w:kern w:val="0"/>
                <w:sz w:val="18"/>
                <w:szCs w:val="18"/>
              </w:rPr>
              <w:t>序号</w:t>
            </w:r>
          </w:p>
        </w:tc>
        <w:tc>
          <w:tcPr>
            <w:tcW w:w="1681" w:type="dxa"/>
            <w:shd w:val="clear" w:color="000000" w:fill="FFFFFF"/>
            <w:noWrap w:val="0"/>
            <w:vAlign w:val="center"/>
          </w:tcPr>
          <w:p>
            <w:pPr>
              <w:widowControl/>
              <w:snapToGrid w:val="0"/>
              <w:ind w:left="0" w:leftChars="0" w:right="0" w:rightChars="0" w:firstLine="0" w:firstLineChars="0"/>
              <w:jc w:val="center"/>
              <w:rPr>
                <w:rFonts w:ascii="宋体" w:eastAsia="宋体" w:cs="宋体"/>
                <w:b/>
                <w:bCs/>
                <w:kern w:val="0"/>
                <w:sz w:val="18"/>
                <w:szCs w:val="18"/>
              </w:rPr>
            </w:pPr>
            <w:r>
              <w:rPr>
                <w:rFonts w:hint="eastAsia" w:ascii="宋体" w:hAnsi="宋体" w:eastAsia="宋体" w:cs="宋体"/>
                <w:b/>
                <w:bCs/>
                <w:kern w:val="0"/>
                <w:sz w:val="18"/>
                <w:szCs w:val="18"/>
              </w:rPr>
              <w:t>名称</w:t>
            </w:r>
          </w:p>
        </w:tc>
        <w:tc>
          <w:tcPr>
            <w:tcW w:w="1307" w:type="dxa"/>
            <w:shd w:val="clear" w:color="000000" w:fill="FFFFFF"/>
            <w:noWrap w:val="0"/>
            <w:vAlign w:val="center"/>
          </w:tcPr>
          <w:p>
            <w:pPr>
              <w:widowControl/>
              <w:snapToGrid w:val="0"/>
              <w:ind w:left="0" w:leftChars="0" w:right="0" w:rightChars="0" w:firstLine="0" w:firstLineChars="0"/>
              <w:jc w:val="center"/>
              <w:rPr>
                <w:rFonts w:ascii="宋体" w:eastAsia="宋体" w:cs="宋体"/>
                <w:b/>
                <w:bCs/>
                <w:kern w:val="0"/>
                <w:sz w:val="18"/>
                <w:szCs w:val="18"/>
              </w:rPr>
            </w:pPr>
            <w:r>
              <w:rPr>
                <w:rFonts w:hint="eastAsia" w:ascii="宋体" w:hAnsi="宋体" w:eastAsia="宋体" w:cs="宋体"/>
                <w:b/>
                <w:bCs/>
                <w:kern w:val="0"/>
                <w:sz w:val="18"/>
                <w:szCs w:val="18"/>
              </w:rPr>
              <w:t>型号</w:t>
            </w:r>
          </w:p>
        </w:tc>
        <w:tc>
          <w:tcPr>
            <w:tcW w:w="424" w:type="dxa"/>
            <w:shd w:val="clear" w:color="000000" w:fill="FFFFFF"/>
            <w:noWrap w:val="0"/>
            <w:vAlign w:val="center"/>
          </w:tcPr>
          <w:p>
            <w:pPr>
              <w:widowControl/>
              <w:snapToGrid w:val="0"/>
              <w:ind w:left="0" w:leftChars="0" w:right="0" w:rightChars="0" w:firstLine="0" w:firstLineChars="0"/>
              <w:jc w:val="center"/>
              <w:rPr>
                <w:rFonts w:ascii="宋体" w:eastAsia="宋体" w:cs="宋体"/>
                <w:b/>
                <w:bCs/>
                <w:kern w:val="0"/>
                <w:sz w:val="18"/>
                <w:szCs w:val="18"/>
              </w:rPr>
            </w:pPr>
            <w:r>
              <w:rPr>
                <w:rFonts w:hint="eastAsia" w:ascii="宋体" w:hAnsi="宋体" w:eastAsia="宋体" w:cs="宋体"/>
                <w:b/>
                <w:bCs/>
                <w:kern w:val="0"/>
                <w:sz w:val="18"/>
                <w:szCs w:val="18"/>
              </w:rPr>
              <w:t>单位</w:t>
            </w:r>
          </w:p>
        </w:tc>
        <w:tc>
          <w:tcPr>
            <w:tcW w:w="2903" w:type="dxa"/>
            <w:shd w:val="clear" w:color="000000" w:fill="FFFFFF"/>
            <w:noWrap w:val="0"/>
            <w:vAlign w:val="center"/>
          </w:tcPr>
          <w:p>
            <w:pPr>
              <w:widowControl/>
              <w:snapToGrid w:val="0"/>
              <w:ind w:left="0" w:leftChars="0" w:right="0" w:rightChars="0" w:firstLine="0" w:firstLineChars="0"/>
              <w:jc w:val="center"/>
              <w:rPr>
                <w:rFonts w:hint="default"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技术参数</w:t>
            </w:r>
          </w:p>
        </w:tc>
        <w:tc>
          <w:tcPr>
            <w:tcW w:w="500" w:type="dxa"/>
            <w:shd w:val="clear" w:color="000000" w:fill="FFFFFF"/>
            <w:noWrap w:val="0"/>
            <w:vAlign w:val="center"/>
          </w:tcPr>
          <w:p>
            <w:pPr>
              <w:widowControl/>
              <w:snapToGrid w:val="0"/>
              <w:ind w:left="0" w:leftChars="0" w:right="0" w:rightChars="0"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数量</w:t>
            </w:r>
          </w:p>
        </w:tc>
        <w:tc>
          <w:tcPr>
            <w:tcW w:w="822" w:type="dxa"/>
            <w:noWrap w:val="0"/>
            <w:vAlign w:val="center"/>
          </w:tcPr>
          <w:p>
            <w:pPr>
              <w:widowControl/>
              <w:snapToGrid w:val="0"/>
              <w:ind w:left="0" w:leftChars="0" w:right="0" w:rightChars="0"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lang w:eastAsia="zh-CN"/>
              </w:rPr>
              <w:t>单价</w:t>
            </w:r>
            <w:r>
              <w:rPr>
                <w:rFonts w:hint="eastAsia" w:ascii="宋体" w:hAnsi="宋体" w:eastAsia="宋体" w:cs="宋体"/>
                <w:b/>
                <w:bCs/>
                <w:kern w:val="0"/>
                <w:sz w:val="18"/>
                <w:szCs w:val="18"/>
              </w:rPr>
              <w:t>金额</w:t>
            </w:r>
          </w:p>
          <w:p>
            <w:pPr>
              <w:widowControl/>
              <w:snapToGrid w:val="0"/>
              <w:ind w:left="0" w:leftChars="0" w:right="0" w:rightChars="0" w:firstLine="0" w:firstLineChars="0"/>
              <w:jc w:val="center"/>
              <w:rPr>
                <w:rFonts w:ascii="宋体" w:eastAsia="宋体" w:cs="宋体"/>
                <w:b/>
                <w:bCs/>
                <w:kern w:val="0"/>
                <w:sz w:val="18"/>
                <w:szCs w:val="18"/>
              </w:rPr>
            </w:pPr>
            <w:r>
              <w:rPr>
                <w:rFonts w:hint="eastAsia" w:ascii="宋体" w:hAnsi="宋体" w:eastAsia="宋体" w:cs="宋体"/>
                <w:b/>
                <w:bCs/>
                <w:kern w:val="0"/>
                <w:sz w:val="18"/>
                <w:szCs w:val="18"/>
              </w:rPr>
              <w:t>（元）</w:t>
            </w:r>
          </w:p>
        </w:tc>
        <w:tc>
          <w:tcPr>
            <w:tcW w:w="1101" w:type="dxa"/>
            <w:noWrap w:val="0"/>
            <w:vAlign w:val="center"/>
          </w:tcPr>
          <w:p>
            <w:pPr>
              <w:widowControl/>
              <w:snapToGrid w:val="0"/>
              <w:ind w:left="0" w:leftChars="0" w:right="0" w:rightChars="0" w:firstLine="0" w:firstLineChars="0"/>
              <w:jc w:val="center"/>
              <w:rPr>
                <w:rFonts w:hint="eastAsia" w:ascii="宋体" w:eastAsia="宋体"/>
                <w:b/>
                <w:sz w:val="18"/>
              </w:rPr>
            </w:pPr>
            <w:r>
              <w:rPr>
                <w:rFonts w:hint="eastAsia" w:ascii="宋体" w:eastAsia="宋体"/>
                <w:b/>
                <w:sz w:val="18"/>
              </w:rPr>
              <w:t>合计金额</w:t>
            </w:r>
          </w:p>
          <w:p>
            <w:pPr>
              <w:widowControl/>
              <w:snapToGrid w:val="0"/>
              <w:ind w:left="0" w:leftChars="0" w:right="0" w:rightChars="0" w:firstLine="0" w:firstLineChars="0"/>
              <w:jc w:val="center"/>
              <w:rPr>
                <w:rFonts w:hint="eastAsia" w:ascii="宋体" w:hAnsi="宋体" w:eastAsia="宋体" w:cs="宋体"/>
                <w:b/>
                <w:bCs/>
                <w:kern w:val="0"/>
                <w:sz w:val="18"/>
                <w:szCs w:val="18"/>
                <w:lang w:eastAsia="zh-CN"/>
              </w:rPr>
            </w:pPr>
            <w:r>
              <w:rPr>
                <w:rFonts w:hint="eastAsia" w:ascii="宋体" w:eastAsia="宋体"/>
                <w:b/>
                <w:sz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7" w:type="dxa"/>
            <w:shd w:val="clear" w:color="000000" w:fill="FFFFFF"/>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highlight w:val="none"/>
              </w:rPr>
            </w:pPr>
            <w:r>
              <w:rPr>
                <w:rFonts w:hint="eastAsia" w:ascii="Times New Roman" w:hAnsi="Times New Roman" w:cs="Times New Roman"/>
                <w:color w:val="000000"/>
                <w:sz w:val="18"/>
                <w:szCs w:val="18"/>
                <w:highlight w:val="none"/>
                <w:lang w:val="en-US" w:eastAsia="zh-CN"/>
              </w:rPr>
              <w:t>1</w:t>
            </w:r>
          </w:p>
        </w:tc>
        <w:tc>
          <w:tcPr>
            <w:tcW w:w="1681"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全自动免疫检验系统用底物液</w:t>
            </w:r>
          </w:p>
        </w:tc>
        <w:tc>
          <w:tcPr>
            <w:tcW w:w="1307" w:type="dxa"/>
            <w:noWrap w:val="0"/>
            <w:vAlign w:val="center"/>
          </w:tcPr>
          <w:p>
            <w:pPr>
              <w:snapToGrid w:val="0"/>
              <w:ind w:left="0" w:leftChars="0" w:right="0" w:rightChars="0" w:firstLine="0" w:firstLineChars="0"/>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（2×230ml）/套</w:t>
            </w:r>
          </w:p>
        </w:tc>
        <w:tc>
          <w:tcPr>
            <w:tcW w:w="424"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套</w:t>
            </w:r>
          </w:p>
        </w:tc>
        <w:tc>
          <w:tcPr>
            <w:tcW w:w="2903"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1.包装规格：（2*230ml）/套</w:t>
            </w:r>
          </w:p>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2.预期用途：与其他多种试剂配合使用，完成基于免疫原理的体外诊断检测，仅用于深圳市新产业生物医学工程股份有限公司的化学发光免疫分析检测系统</w:t>
            </w:r>
          </w:p>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3.有效期：2-30℃储存，避免强光直射，有效期不少于12个月</w:t>
            </w:r>
          </w:p>
        </w:tc>
        <w:tc>
          <w:tcPr>
            <w:tcW w:w="500"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110</w:t>
            </w:r>
          </w:p>
        </w:tc>
        <w:tc>
          <w:tcPr>
            <w:tcW w:w="822"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462.35</w:t>
            </w:r>
          </w:p>
        </w:tc>
        <w:tc>
          <w:tcPr>
            <w:tcW w:w="1101" w:type="dxa"/>
            <w:noWrap w:val="0"/>
            <w:vAlign w:val="center"/>
          </w:tcPr>
          <w:p>
            <w:pPr>
              <w:widowControl/>
              <w:snapToGrid w:val="0"/>
              <w:jc w:val="right"/>
              <w:rPr>
                <w:rFonts w:hint="default" w:ascii="Times New Roman" w:hAnsi="Times New Roman" w:eastAsia="宋体" w:cs="Times New Roman"/>
                <w:color w:val="000000"/>
                <w:sz w:val="18"/>
                <w:szCs w:val="18"/>
                <w:lang w:val="en-US" w:eastAsia="zh-CN"/>
              </w:rPr>
            </w:pPr>
            <w:r>
              <w:rPr>
                <w:rFonts w:hint="eastAsia" w:ascii="Times New Roman"/>
                <w:sz w:val="18"/>
                <w:lang w:val="en-US" w:eastAsia="zh-CN"/>
              </w:rPr>
              <w:t>50858.4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7" w:type="dxa"/>
            <w:shd w:val="clear" w:color="000000" w:fill="FFFFFF"/>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highlight w:val="none"/>
              </w:rPr>
            </w:pPr>
            <w:r>
              <w:rPr>
                <w:rFonts w:hint="eastAsia" w:ascii="Times New Roman" w:hAnsi="Times New Roman" w:cs="Times New Roman"/>
                <w:color w:val="000000"/>
                <w:sz w:val="18"/>
                <w:szCs w:val="18"/>
                <w:highlight w:val="none"/>
                <w:lang w:val="en-US" w:eastAsia="zh-CN"/>
              </w:rPr>
              <w:t>2</w:t>
            </w:r>
          </w:p>
        </w:tc>
        <w:tc>
          <w:tcPr>
            <w:tcW w:w="1681"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清洗液</w:t>
            </w:r>
          </w:p>
        </w:tc>
        <w:tc>
          <w:tcPr>
            <w:tcW w:w="1307" w:type="dxa"/>
            <w:noWrap w:val="0"/>
            <w:vAlign w:val="center"/>
          </w:tcPr>
          <w:p>
            <w:pPr>
              <w:snapToGrid w:val="0"/>
              <w:ind w:left="0" w:leftChars="0" w:right="0" w:rightChars="0" w:firstLine="0" w:firstLineChars="0"/>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714ml/瓶</w:t>
            </w:r>
          </w:p>
        </w:tc>
        <w:tc>
          <w:tcPr>
            <w:tcW w:w="424"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瓶</w:t>
            </w:r>
          </w:p>
        </w:tc>
        <w:tc>
          <w:tcPr>
            <w:tcW w:w="2903"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1.包装规格：714ml/瓶</w:t>
            </w:r>
          </w:p>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2.预期用途：用于检测过程中反应过程体系内待测物清洗，以便于对待测物质进行后续检测。</w:t>
            </w:r>
          </w:p>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3.储存条件及有效期：（未开瓶）2-30℃储存，有效期不少于12个月；（开瓶稀释配制后）2-30℃可保存四周，避免阳光直射</w:t>
            </w:r>
          </w:p>
        </w:tc>
        <w:tc>
          <w:tcPr>
            <w:tcW w:w="500"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190</w:t>
            </w:r>
          </w:p>
        </w:tc>
        <w:tc>
          <w:tcPr>
            <w:tcW w:w="822"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26</w:t>
            </w:r>
            <w:r>
              <w:rPr>
                <w:rFonts w:hint="eastAsia" w:ascii="Times New Roman" w:hAnsi="Times New Roman" w:cs="Times New Roman"/>
                <w:color w:val="000000"/>
                <w:sz w:val="18"/>
                <w:szCs w:val="18"/>
                <w:lang w:val="en-US" w:eastAsia="zh-CN"/>
              </w:rPr>
              <w:t>6.52</w:t>
            </w:r>
          </w:p>
        </w:tc>
        <w:tc>
          <w:tcPr>
            <w:tcW w:w="1101" w:type="dxa"/>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0638.7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97" w:type="dxa"/>
            <w:shd w:val="clear" w:color="000000" w:fill="FFFFFF"/>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highlight w:val="none"/>
              </w:rPr>
            </w:pPr>
            <w:r>
              <w:rPr>
                <w:rFonts w:hint="eastAsia" w:ascii="Times New Roman" w:hAnsi="Times New Roman" w:cs="Times New Roman"/>
                <w:color w:val="000000"/>
                <w:sz w:val="18"/>
                <w:szCs w:val="18"/>
                <w:highlight w:val="none"/>
                <w:lang w:val="en-US" w:eastAsia="zh-CN"/>
              </w:rPr>
              <w:t>3</w:t>
            </w:r>
          </w:p>
        </w:tc>
        <w:tc>
          <w:tcPr>
            <w:tcW w:w="1681"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反应杯</w:t>
            </w:r>
          </w:p>
        </w:tc>
        <w:tc>
          <w:tcPr>
            <w:tcW w:w="1307" w:type="dxa"/>
            <w:noWrap w:val="0"/>
            <w:vAlign w:val="center"/>
          </w:tcPr>
          <w:p>
            <w:pPr>
              <w:snapToGrid w:val="0"/>
              <w:ind w:left="0" w:leftChars="0" w:right="0" w:rightChars="0" w:firstLine="0" w:firstLineChars="0"/>
              <w:jc w:val="left"/>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64条/盒</w:t>
            </w:r>
          </w:p>
        </w:tc>
        <w:tc>
          <w:tcPr>
            <w:tcW w:w="424"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盒</w:t>
            </w:r>
          </w:p>
        </w:tc>
        <w:tc>
          <w:tcPr>
            <w:tcW w:w="2903" w:type="dxa"/>
            <w:noWrap w:val="0"/>
            <w:vAlign w:val="center"/>
          </w:tcPr>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1.包装规格：64条/盒</w:t>
            </w:r>
          </w:p>
          <w:p>
            <w:pPr>
              <w:snapToGrid w:val="0"/>
              <w:ind w:left="0" w:leftChars="0" w:right="0" w:rightChars="0" w:firstLine="0" w:firstLineChars="0"/>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2.外观：无污染、异物；无破洞、毛刺；无异色、纤维；无明显变形</w:t>
            </w:r>
          </w:p>
        </w:tc>
        <w:tc>
          <w:tcPr>
            <w:tcW w:w="500"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324</w:t>
            </w:r>
          </w:p>
        </w:tc>
        <w:tc>
          <w:tcPr>
            <w:tcW w:w="822" w:type="dxa"/>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rPr>
              <w:t>20</w:t>
            </w:r>
            <w:r>
              <w:rPr>
                <w:rFonts w:hint="eastAsia" w:ascii="Times New Roman" w:hAnsi="Times New Roman" w:cs="Times New Roman"/>
                <w:color w:val="000000"/>
                <w:sz w:val="18"/>
                <w:szCs w:val="18"/>
                <w:lang w:val="en-US" w:eastAsia="zh-CN"/>
              </w:rPr>
              <w:t>4.29</w:t>
            </w:r>
          </w:p>
        </w:tc>
        <w:tc>
          <w:tcPr>
            <w:tcW w:w="1101" w:type="dxa"/>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sz w:val="18"/>
                <w:lang w:val="en-US" w:eastAsia="zh-CN"/>
              </w:rPr>
              <w:t>66187.44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97" w:type="dxa"/>
            <w:shd w:val="clear" w:color="000000" w:fill="FFFFFF"/>
            <w:noWrap w:val="0"/>
            <w:vAlign w:val="center"/>
          </w:tcPr>
          <w:p>
            <w:pPr>
              <w:snapToGrid w:val="0"/>
              <w:ind w:left="0" w:leftChars="0" w:right="0" w:rightChars="0" w:firstLine="0" w:firstLineChars="0"/>
              <w:jc w:val="center"/>
              <w:rPr>
                <w:rFonts w:hint="eastAsia" w:ascii="Times New Roman" w:hAnsi="Times New Roman" w:eastAsia="宋体" w:cs="Times New Roman"/>
                <w:b/>
                <w:color w:val="000000"/>
                <w:sz w:val="18"/>
                <w:szCs w:val="18"/>
              </w:rPr>
            </w:pPr>
          </w:p>
        </w:tc>
        <w:tc>
          <w:tcPr>
            <w:tcW w:w="1681" w:type="dxa"/>
            <w:noWrap w:val="0"/>
            <w:vAlign w:val="center"/>
          </w:tcPr>
          <w:p>
            <w:pPr>
              <w:snapToGrid w:val="0"/>
              <w:ind w:left="0" w:leftChars="0" w:right="0" w:rightChars="0" w:firstLine="0" w:firstLineChars="0"/>
              <w:jc w:val="center"/>
              <w:rPr>
                <w:rFonts w:hint="eastAsia" w:ascii="Times New Roman" w:hAnsi="Times New Roman" w:eastAsia="宋体" w:cs="Times New Roman"/>
                <w:b/>
                <w:color w:val="000000"/>
                <w:sz w:val="18"/>
                <w:szCs w:val="18"/>
                <w:lang w:eastAsia="zh-CN"/>
              </w:rPr>
            </w:pPr>
            <w:r>
              <w:rPr>
                <w:rFonts w:hint="eastAsia" w:ascii="Times New Roman" w:hAnsi="Times New Roman" w:eastAsia="宋体" w:cs="Times New Roman"/>
                <w:b/>
                <w:color w:val="000000"/>
                <w:sz w:val="18"/>
                <w:szCs w:val="18"/>
                <w:lang w:eastAsia="zh-CN"/>
              </w:rPr>
              <w:t>共计（元）</w:t>
            </w:r>
          </w:p>
        </w:tc>
        <w:tc>
          <w:tcPr>
            <w:tcW w:w="5956" w:type="dxa"/>
            <w:gridSpan w:val="5"/>
            <w:noWrap w:val="0"/>
            <w:vAlign w:val="center"/>
          </w:tcPr>
          <w:p>
            <w:pPr>
              <w:snapToGrid w:val="0"/>
              <w:ind w:left="0" w:leftChars="0" w:right="0" w:rightChars="0" w:firstLine="0" w:firstLineChars="0"/>
              <w:jc w:val="center"/>
              <w:rPr>
                <w:rFonts w:hint="eastAsia" w:ascii="Times New Roman" w:hAnsi="Times New Roman" w:eastAsia="宋体" w:cs="Times New Roman"/>
                <w:b/>
                <w:color w:val="000000"/>
                <w:sz w:val="18"/>
                <w:szCs w:val="18"/>
              </w:rPr>
            </w:pPr>
          </w:p>
        </w:tc>
        <w:tc>
          <w:tcPr>
            <w:tcW w:w="1101" w:type="dxa"/>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18"/>
                <w:szCs w:val="18"/>
                <w:u w:val="none"/>
                <w:lang w:val="en-US" w:eastAsia="zh-CN" w:bidi="ar"/>
              </w:rPr>
              <w:t>167648.54</w:t>
            </w:r>
          </w:p>
        </w:tc>
      </w:tr>
    </w:tbl>
    <w:p>
      <w:pPr>
        <w:pStyle w:val="10"/>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10"/>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3"/>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 xml:space="preserve">年 </w:t>
      </w:r>
      <w:r>
        <w:rPr>
          <w:rFonts w:hint="eastAsia" w:asciiTheme="minorEastAsia" w:hAnsiTheme="minorEastAsia"/>
          <w:sz w:val="24"/>
          <w:lang w:val="en-US" w:eastAsia="zh-CN"/>
        </w:rPr>
        <w:t xml:space="preserve">6 </w:t>
      </w:r>
      <w:r>
        <w:rPr>
          <w:rFonts w:hint="eastAsia" w:asciiTheme="minorEastAsia" w:hAnsiTheme="minorEastAsia"/>
          <w:sz w:val="24"/>
        </w:rPr>
        <w:t>月</w:t>
      </w:r>
      <w:r>
        <w:rPr>
          <w:rFonts w:hint="eastAsia" w:asciiTheme="minorEastAsia" w:hAnsiTheme="minorEastAsia"/>
          <w:sz w:val="24"/>
          <w:lang w:val="en-US" w:eastAsia="zh-CN"/>
        </w:rPr>
        <w:t xml:space="preserve"> 12</w:t>
      </w:r>
      <w:r>
        <w:rPr>
          <w:rFonts w:hint="eastAsia" w:asciiTheme="minorEastAsia" w:hAnsiTheme="minorEastAsia"/>
          <w:sz w:val="24"/>
        </w:rPr>
        <w:t xml:space="preserve"> 日</w:t>
      </w:r>
      <w:r>
        <w:rPr>
          <w:rFonts w:hint="eastAsia" w:asciiTheme="minorEastAsia" w:hAnsiTheme="minorEastAsia"/>
          <w:sz w:val="24"/>
          <w:lang w:val="en-US" w:eastAsia="zh-CN"/>
        </w:rPr>
        <w:t xml:space="preserve"> 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8"/>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8"/>
        <w:spacing w:beforeAutospacing="0" w:afterAutospacing="0" w:line="450" w:lineRule="atLeast"/>
      </w:pPr>
      <w:r>
        <w:rPr>
          <w:rFonts w:hint="eastAsia"/>
        </w:rPr>
        <w:t>2、能提供最合理的投标报价。</w:t>
      </w:r>
    </w:p>
    <w:p>
      <w:pPr>
        <w:pStyle w:val="18"/>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8"/>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10"/>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10"/>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abstractNum w:abstractNumId="1">
    <w:nsid w:val="737D1796"/>
    <w:multiLevelType w:val="singleLevel"/>
    <w:tmpl w:val="737D179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D5232"/>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5D4B"/>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D6900"/>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C582C"/>
    <w:rsid w:val="05DA5A3E"/>
    <w:rsid w:val="074C5327"/>
    <w:rsid w:val="078D1BB1"/>
    <w:rsid w:val="083D37AE"/>
    <w:rsid w:val="08E6336B"/>
    <w:rsid w:val="094D3FED"/>
    <w:rsid w:val="09D81428"/>
    <w:rsid w:val="0A723425"/>
    <w:rsid w:val="0AB4190F"/>
    <w:rsid w:val="0ADF2677"/>
    <w:rsid w:val="0B3D43EC"/>
    <w:rsid w:val="0C1E312B"/>
    <w:rsid w:val="0C692972"/>
    <w:rsid w:val="0D07564B"/>
    <w:rsid w:val="0D220DDB"/>
    <w:rsid w:val="0F0A1095"/>
    <w:rsid w:val="0F5B1DBC"/>
    <w:rsid w:val="10261C9C"/>
    <w:rsid w:val="116756CF"/>
    <w:rsid w:val="13595FE6"/>
    <w:rsid w:val="14707839"/>
    <w:rsid w:val="14B253D3"/>
    <w:rsid w:val="152751AF"/>
    <w:rsid w:val="19D35DC9"/>
    <w:rsid w:val="1A52404B"/>
    <w:rsid w:val="1A9E024A"/>
    <w:rsid w:val="1ACA29D1"/>
    <w:rsid w:val="1D4775EF"/>
    <w:rsid w:val="1E860E86"/>
    <w:rsid w:val="1F371190"/>
    <w:rsid w:val="1FF54705"/>
    <w:rsid w:val="208F2472"/>
    <w:rsid w:val="20C36CBA"/>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9A56EDA"/>
    <w:rsid w:val="3A190A5E"/>
    <w:rsid w:val="3A924D4F"/>
    <w:rsid w:val="3AA66558"/>
    <w:rsid w:val="3AEC01E1"/>
    <w:rsid w:val="3B187370"/>
    <w:rsid w:val="3BB5427C"/>
    <w:rsid w:val="3CAC4D06"/>
    <w:rsid w:val="3D3D4A5E"/>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4E3D17"/>
    <w:rsid w:val="4DAD16F6"/>
    <w:rsid w:val="4E48433F"/>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29A3C27"/>
    <w:rsid w:val="637E0BE3"/>
    <w:rsid w:val="64CF1C0E"/>
    <w:rsid w:val="666E248A"/>
    <w:rsid w:val="669B5141"/>
    <w:rsid w:val="66CD6CBE"/>
    <w:rsid w:val="66F219EB"/>
    <w:rsid w:val="679643D0"/>
    <w:rsid w:val="67B646CE"/>
    <w:rsid w:val="68692E9E"/>
    <w:rsid w:val="68CD380D"/>
    <w:rsid w:val="695A54BE"/>
    <w:rsid w:val="699904FE"/>
    <w:rsid w:val="6AC01C73"/>
    <w:rsid w:val="6B9E631E"/>
    <w:rsid w:val="6BDE0052"/>
    <w:rsid w:val="6D002665"/>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763AE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0"/>
    <w:semiHidden/>
    <w:unhideWhenUsed/>
    <w:qFormat/>
    <w:uiPriority w:val="99"/>
    <w:pPr>
      <w:spacing w:after="120"/>
    </w:pPr>
  </w:style>
  <w:style w:type="paragraph" w:styleId="3">
    <w:name w:val="Body Text First Indent"/>
    <w:basedOn w:val="2"/>
    <w:link w:val="21"/>
    <w:qFormat/>
    <w:uiPriority w:val="0"/>
    <w:pPr>
      <w:spacing w:after="0"/>
      <w:ind w:firstLine="420" w:firstLineChars="100"/>
    </w:pPr>
    <w:rPr>
      <w:rFonts w:eastAsia="仿宋_GB2312"/>
      <w:sz w:val="24"/>
      <w:szCs w:val="21"/>
    </w:rPr>
  </w:style>
  <w:style w:type="paragraph" w:styleId="4">
    <w:name w:val="Body Text Indent"/>
    <w:basedOn w:val="1"/>
    <w:qFormat/>
    <w:uiPriority w:val="0"/>
    <w:pPr>
      <w:tabs>
        <w:tab w:val="left" w:pos="8280"/>
      </w:tabs>
      <w:spacing w:line="360" w:lineRule="auto"/>
      <w:ind w:firstLine="480" w:firstLineChars="200"/>
    </w:pPr>
    <w:rPr>
      <w:rFonts w:ascii="仿宋_GB2312" w:eastAsia="仿宋_GB2312"/>
      <w:sz w:val="24"/>
      <w:szCs w:val="24"/>
    </w:rPr>
  </w:style>
  <w:style w:type="paragraph" w:styleId="5">
    <w:name w:val="Date"/>
    <w:basedOn w:val="1"/>
    <w:next w:val="1"/>
    <w:link w:val="19"/>
    <w:qFormat/>
    <w:uiPriority w:val="0"/>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Body Text First Indent 2"/>
    <w:basedOn w:val="4"/>
    <w:qFormat/>
    <w:uiPriority w:val="0"/>
    <w:pPr>
      <w:spacing w:after="120"/>
      <w:ind w:left="420" w:leftChars="200" w:firstLine="420"/>
    </w:pPr>
    <w:rPr>
      <w:rFonts w:ascii="Calibri" w:hAnsi="Calibri"/>
      <w:sz w:val="21"/>
      <w:szCs w:val="24"/>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批注框文本 Char"/>
    <w:basedOn w:val="11"/>
    <w:link w:val="6"/>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11"/>
    <w:link w:val="5"/>
    <w:qFormat/>
    <w:uiPriority w:val="0"/>
    <w:rPr>
      <w:kern w:val="2"/>
      <w:sz w:val="21"/>
      <w:szCs w:val="24"/>
    </w:rPr>
  </w:style>
  <w:style w:type="character" w:customStyle="1" w:styleId="20">
    <w:name w:val="正文文本 Char"/>
    <w:basedOn w:val="11"/>
    <w:link w:val="2"/>
    <w:semiHidden/>
    <w:qFormat/>
    <w:uiPriority w:val="99"/>
    <w:rPr>
      <w:kern w:val="2"/>
      <w:sz w:val="21"/>
      <w:szCs w:val="24"/>
    </w:rPr>
  </w:style>
  <w:style w:type="character" w:customStyle="1" w:styleId="21">
    <w:name w:val="正文首行缩进 Char"/>
    <w:basedOn w:val="20"/>
    <w:link w:val="3"/>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50AE2-3CA1-407B-AEB7-E66BEC4C7CF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7</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2026-04-27T05:54:00Z</cp:lastPrinted>
  <dcterms:modified xsi:type="dcterms:W3CDTF">2026-06-08T01:39:13Z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